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outlineLvl w:val="0"/>
        <w:rPr>
          <w:rFonts w:hint="eastAsia" w:ascii="黑体" w:hAnsi="黑体" w:eastAsia="黑体" w:cs="黑体"/>
          <w:sz w:val="32"/>
          <w:szCs w:val="32"/>
        </w:rPr>
      </w:pPr>
      <w:r>
        <w:rPr>
          <w:rFonts w:hint="eastAsia" w:ascii="黑体" w:hAnsi="黑体" w:eastAsia="黑体" w:cs="黑体"/>
          <w:sz w:val="32"/>
          <w:szCs w:val="32"/>
        </w:rPr>
        <w:t>附件2</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textAlignment w:val="auto"/>
        <w:rPr>
          <w:rFonts w:hint="eastAsia"/>
        </w:rPr>
      </w:pPr>
    </w:p>
    <w:p>
      <w:pPr>
        <w:widowControl/>
        <w:adjustRightInd w:val="0"/>
        <w:snapToGrid w:val="0"/>
        <w:spacing w:line="56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水运工程建设项目施工安全重大事故隐患基础清单（试用）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00" w:lineRule="exact"/>
        <w:textAlignment w:val="auto"/>
      </w:pPr>
    </w:p>
    <w:tbl>
      <w:tblPr>
        <w:tblStyle w:val="4"/>
        <w:tblW w:w="141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779"/>
        <w:gridCol w:w="1198"/>
        <w:gridCol w:w="8422"/>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工程类别</w:t>
            </w:r>
          </w:p>
        </w:tc>
        <w:tc>
          <w:tcPr>
            <w:tcW w:w="1779"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施工环节</w:t>
            </w:r>
          </w:p>
        </w:tc>
        <w:tc>
          <w:tcPr>
            <w:tcW w:w="1198"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隐患编号</w:t>
            </w:r>
          </w:p>
        </w:tc>
        <w:tc>
          <w:tcPr>
            <w:tcW w:w="8422"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隐患内容</w:t>
            </w:r>
          </w:p>
        </w:tc>
        <w:tc>
          <w:tcPr>
            <w:tcW w:w="1396"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易引发</w:t>
            </w:r>
          </w:p>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基础管理</w:t>
            </w: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方案管理</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SJ-001</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未按规定编制或未按程序审批危险性较大工程专项施工方案；超过一定规模的危险性较大工程的专项施工方案未组织专家论证、审查；不配备应急救援队伍，不开展应急演练。</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各类事故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辅助施工</w:t>
            </w:r>
          </w:p>
        </w:tc>
        <w:tc>
          <w:tcPr>
            <w:tcW w:w="1779" w:type="dxa"/>
            <w:vMerge w:val="restart"/>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施工驻地及场站建设（含临时设施搭设）</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SF-001</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在大型设备设施倾覆影响范围内设置办公区、生活区；临时驻地或场站建设不符合规范要求设置在危险区域。</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坍塌、倾覆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SF-002</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SF-003</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围堰施工</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SF-004</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通用作业</w:t>
            </w: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支架作业</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ST-001</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模板作业</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ST-002</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未按规范或方案要求安装或拆除沉箱、胸墙、闸墙等处的模板。</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特种设备和特种作业</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ST-003</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使用未经检验或验收不合格的起重机械；特种作业人员无证上岗。</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施工船舶作业</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ST-004</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输船舶无配载图，超航区运输，上下船设施不安全稳固；工程船舶防台防汛防突风无应急预案，或救生设施、应急拖轮等配备不足；工程船舶改造、船舶与陆用设备组合作业未按规定验算船舶稳定性和结构强度等。</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码头工程</w:t>
            </w: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水下爆夯</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SM-001</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爆破器材无公安机关核定的准用手续，无领用退库等台账资料。</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沉箱出运</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SM-002</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沉箱浮运未验算稳定性；沉箱安装前，助浮使用的起重机吊力未复核。</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深基坑施工</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SM-003</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noWrap w:val="0"/>
            <w:vAlign w:val="center"/>
          </w:tcPr>
          <w:p>
            <w:pPr>
              <w:spacing w:beforeLines="30" w:line="3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航道</w:t>
            </w:r>
            <w:r>
              <w:rPr>
                <w:rFonts w:hint="eastAsia" w:ascii="Times New Roman" w:hAnsi="Times New Roman" w:eastAsia="仿宋_GB2312" w:cs="Times New Roman"/>
                <w:kern w:val="0"/>
                <w:sz w:val="24"/>
                <w:szCs w:val="24"/>
                <w:lang w:eastAsia="zh-CN"/>
              </w:rPr>
              <w:t>整</w:t>
            </w:r>
            <w:r>
              <w:rPr>
                <w:rFonts w:ascii="Times New Roman" w:hAnsi="Times New Roman" w:eastAsia="仿宋_GB2312" w:cs="Times New Roman"/>
                <w:kern w:val="0"/>
                <w:sz w:val="24"/>
                <w:szCs w:val="24"/>
              </w:rPr>
              <w:t>治、防波堤及护岸工程</w:t>
            </w:r>
          </w:p>
        </w:tc>
        <w:tc>
          <w:tcPr>
            <w:tcW w:w="1779"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铺排施工</w:t>
            </w:r>
          </w:p>
        </w:tc>
        <w:tc>
          <w:tcPr>
            <w:tcW w:w="1198"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SH-001</w:t>
            </w:r>
          </w:p>
        </w:tc>
        <w:tc>
          <w:tcPr>
            <w:tcW w:w="8422"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人员站立于正在溜放的软体排上方。</w:t>
            </w:r>
          </w:p>
        </w:tc>
        <w:tc>
          <w:tcPr>
            <w:tcW w:w="139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5"/>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注：其他严重违反水运工程施工安全生产法律法规、部门规章及强制性标准，且存在危害程度较大、可能导致群死群伤或造成重大经济损失的现实危险，应判定为重大事故隐患。</w:t>
            </w:r>
          </w:p>
        </w:tc>
      </w:tr>
    </w:tbl>
    <w:p>
      <w:pPr>
        <w:spacing w:beforeLines="30" w:line="300" w:lineRule="exact"/>
        <w:rPr>
          <w:rFonts w:ascii="Times New Roman" w:hAnsi="Times New Roman" w:eastAsia="仿宋_GB2312" w:cs="Times New Roman"/>
          <w:kern w:val="0"/>
          <w:sz w:val="24"/>
          <w:szCs w:val="24"/>
        </w:rPr>
      </w:pPr>
    </w:p>
    <w:p>
      <w:pPr>
        <w:spacing w:beforeLines="30" w:line="400" w:lineRule="exact"/>
        <w:rPr>
          <w:rFonts w:ascii="Times New Roman" w:hAnsi="Times New Roman" w:eastAsia="仿宋" w:cs="Times New Roman"/>
          <w:sz w:val="28"/>
          <w:szCs w:val="28"/>
        </w:rPr>
      </w:pPr>
    </w:p>
    <w:p>
      <w:pPr>
        <w:widowControl w:val="0"/>
        <w:spacing w:line="560" w:lineRule="exact"/>
        <w:jc w:val="both"/>
        <w:rPr>
          <w:rFonts w:ascii="Arial" w:hAnsi="Arial" w:eastAsia="黑体" w:cs="Times New Roman"/>
          <w:kern w:val="2"/>
          <w:sz w:val="20"/>
          <w:szCs w:val="20"/>
          <w:lang w:val="en-US" w:eastAsia="zh-CN" w:bidi="ar-SA"/>
        </w:rPr>
      </w:pPr>
    </w:p>
    <w:p>
      <w:pPr>
        <w:spacing w:line="560" w:lineRule="exact"/>
        <w:rPr>
          <w:rFonts w:ascii="Times New Roman" w:hAnsi="Times New Roman" w:cs="Times New Roman"/>
          <w:szCs w:val="21"/>
        </w:rPr>
      </w:pPr>
    </w:p>
    <w:p>
      <w:pPr>
        <w:pStyle w:val="2"/>
      </w:pPr>
    </w:p>
    <w:p>
      <w:pPr>
        <w:widowControl w:val="0"/>
        <w:spacing w:after="120" w:line="560" w:lineRule="exact"/>
        <w:jc w:val="both"/>
        <w:rPr>
          <w:rFonts w:ascii="Times New Roman" w:hAnsi="Times New Roman" w:eastAsia="宋体" w:cs="Times New Roman"/>
          <w:kern w:val="2"/>
          <w:sz w:val="21"/>
          <w:szCs w:val="21"/>
          <w:lang w:val="en-US" w:eastAsia="zh-CN" w:bidi="ar-S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TgyYWI1YWFjZWNiMDhlNWU5MmQwM2M1NmNmZjQifQ=="/>
  </w:docVars>
  <w:rsids>
    <w:rsidRoot w:val="285B5CB7"/>
    <w:rsid w:val="285B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2023-11-23T07:46:00Z</dcterms:created>
  <dc:creator>mr.Deja Vu</dc:creator>
  <cp:lastModifiedBy>mr.Deja Vu</cp:lastModifiedBy>
  <dcterms:modified xsi:type="dcterms:W3CDTF">2023-11-23T07:47:10Z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C22865F3B8534E20BCB5C498548FF347_11</vt:lpwstr>
  </property>
</Properties>
</file>