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6124B">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rPr>
        <w:t>国家高速公路银百线</w:t>
      </w:r>
      <w:r>
        <w:rPr>
          <w:rFonts w:hint="eastAsia" w:ascii="Times New Roman" w:hAnsiTheme="minorEastAsia" w:eastAsiaTheme="minorEastAsia"/>
          <w:b/>
          <w:sz w:val="36"/>
          <w:szCs w:val="36"/>
          <w:lang w:eastAsia="zh-CN"/>
        </w:rPr>
        <w:t>安康至岚皋（陕渝界）高速公路</w:t>
      </w:r>
      <w:r>
        <w:rPr>
          <w:rFonts w:hint="eastAsia" w:ascii="Times New Roman" w:hAnsiTheme="minorEastAsia" w:eastAsiaTheme="minorEastAsia"/>
          <w:b/>
          <w:sz w:val="36"/>
          <w:szCs w:val="36"/>
        </w:rPr>
        <w:t>岚皋至陕渝界段</w:t>
      </w:r>
      <w:r>
        <w:rPr>
          <w:rFonts w:hint="eastAsia" w:ascii="Times New Roman" w:hAnsiTheme="minorEastAsia" w:eastAsiaTheme="minorEastAsia"/>
          <w:b/>
          <w:sz w:val="36"/>
          <w:szCs w:val="36"/>
          <w:lang w:eastAsia="zh-CN"/>
        </w:rPr>
        <w:t>路面、交安、绿化工程施工监理</w:t>
      </w:r>
      <w:r>
        <w:rPr>
          <w:rFonts w:hint="eastAsia" w:ascii="Times New Roman" w:hAnsiTheme="minorEastAsia" w:eastAsiaTheme="minorEastAsia"/>
          <w:b/>
          <w:sz w:val="36"/>
          <w:szCs w:val="36"/>
        </w:rPr>
        <w:t>招标关键内容公示</w:t>
      </w:r>
    </w:p>
    <w:p w14:paraId="47724AE7">
      <w:pPr>
        <w:spacing w:line="360" w:lineRule="auto"/>
        <w:rPr>
          <w:rFonts w:ascii="Times New Roman" w:hAnsi="Times New Roman" w:eastAsiaTheme="minorEastAsia"/>
          <w:color w:val="000000"/>
          <w:sz w:val="24"/>
        </w:rPr>
      </w:pPr>
      <w:r>
        <w:rPr>
          <w:rFonts w:hint="eastAsia" w:ascii="黑体" w:hAnsi="黑体" w:eastAsia="黑体" w:cs="黑体"/>
          <w:color w:val="000000"/>
          <w:sz w:val="32"/>
          <w:szCs w:val="32"/>
        </w:rPr>
        <w:t>一、项目概况</w:t>
      </w:r>
    </w:p>
    <w:p w14:paraId="2C223A72">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本项目路线起于安康市汉滨区月河河口北岸，与十（堰）天（水）高速公路衔接，止于陕渝界大巴山隧道内的两省交界处，与在建的重庆市开县至城口高速公路相接，路线全长88.583公里。全线采用双向四车道高速公路技术标准，其中岚皋至陕渝界段（K48+400～K89+559）设计速度80公里/小时，路基宽度25.5米。其他技术指标按照部颁《公路工程技术标准》（JTGB01-2014）规定执行。</w:t>
      </w:r>
    </w:p>
    <w:p w14:paraId="39E6F5D2">
      <w:pPr>
        <w:spacing w:line="360" w:lineRule="auto"/>
        <w:rPr>
          <w:rFonts w:hint="eastAsia" w:ascii="黑体" w:hAnsi="黑体" w:eastAsia="黑体" w:cs="黑体"/>
          <w:color w:val="000000"/>
          <w:sz w:val="32"/>
          <w:szCs w:val="32"/>
          <w:lang w:eastAsia="en-US"/>
        </w:rPr>
      </w:pPr>
      <w:r>
        <w:rPr>
          <w:rFonts w:hint="eastAsia" w:ascii="黑体" w:hAnsi="黑体" w:eastAsia="黑体" w:cs="黑体"/>
          <w:color w:val="000000"/>
          <w:sz w:val="32"/>
          <w:szCs w:val="32"/>
        </w:rPr>
        <w:t>二</w:t>
      </w:r>
      <w:r>
        <w:rPr>
          <w:rFonts w:hint="eastAsia" w:ascii="黑体" w:hAnsi="黑体" w:eastAsia="黑体" w:cs="黑体"/>
          <w:color w:val="000000"/>
          <w:sz w:val="32"/>
          <w:szCs w:val="32"/>
          <w:lang w:eastAsia="en-US"/>
        </w:rPr>
        <w:t>、投标人资格要求</w:t>
      </w:r>
    </w:p>
    <w:p w14:paraId="0855BD65">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1.资格审查条件</w:t>
      </w:r>
    </w:p>
    <w:p w14:paraId="51FD5826">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本次招标要求投标人满足下列各项资格审查条件，并在人员等方面具有相应的监理服务能力。</w:t>
      </w:r>
    </w:p>
    <w:p w14:paraId="0534241F">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(1)资质最低要求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7585"/>
      </w:tblGrid>
      <w:tr w14:paraId="26474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487" w:type="dxa"/>
            <w:vAlign w:val="center"/>
          </w:tcPr>
          <w:p w14:paraId="4F4CE27B">
            <w:pPr>
              <w:tabs>
                <w:tab w:val="left" w:pos="1778"/>
              </w:tabs>
              <w:jc w:val="center"/>
              <w:rPr>
                <w:rFonts w:hint="eastAsia" w:ascii="仿宋_GB2312" w:hAnsi="仿宋" w:eastAsia="仿宋_GB2312"/>
                <w:b/>
                <w:color w:val="000000"/>
                <w:sz w:val="24"/>
              </w:rPr>
            </w:pPr>
            <w:r>
              <w:rPr>
                <w:rFonts w:hint="eastAsia" w:ascii="仿宋_GB2312" w:hAnsi="仿宋" w:eastAsia="仿宋_GB2312" w:cs="宋体"/>
                <w:b/>
                <w:color w:val="000000"/>
                <w:kern w:val="0"/>
                <w:sz w:val="24"/>
              </w:rPr>
              <w:t>标段</w:t>
            </w:r>
          </w:p>
        </w:tc>
        <w:tc>
          <w:tcPr>
            <w:tcW w:w="7585" w:type="dxa"/>
            <w:vAlign w:val="center"/>
          </w:tcPr>
          <w:p w14:paraId="4F97C19E">
            <w:pPr>
              <w:tabs>
                <w:tab w:val="left" w:pos="1778"/>
              </w:tabs>
              <w:jc w:val="center"/>
              <w:rPr>
                <w:rFonts w:hint="eastAsia" w:ascii="仿宋_GB2312" w:hAnsi="仿宋" w:eastAsia="仿宋_GB2312"/>
                <w:b/>
                <w:color w:val="000000"/>
                <w:sz w:val="24"/>
              </w:rPr>
            </w:pPr>
            <w:r>
              <w:rPr>
                <w:rFonts w:hint="eastAsia" w:ascii="仿宋_GB2312" w:hAnsi="仿宋" w:eastAsia="仿宋_GB2312"/>
                <w:b/>
                <w:color w:val="000000"/>
                <w:sz w:val="24"/>
              </w:rPr>
              <w:t>资  质  要  求</w:t>
            </w:r>
          </w:p>
        </w:tc>
      </w:tr>
      <w:tr w14:paraId="2904D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7" w:type="dxa"/>
            <w:vAlign w:val="center"/>
          </w:tcPr>
          <w:p w14:paraId="4EEE0295">
            <w:pPr>
              <w:jc w:val="center"/>
              <w:rPr>
                <w:rFonts w:hint="eastAsia" w:ascii="仿宋_GB2312" w:hAnsi="仿宋" w:eastAsia="仿宋_GB2312"/>
                <w:color w:val="000000"/>
                <w:sz w:val="24"/>
              </w:rPr>
            </w:pPr>
            <w:r>
              <w:rPr>
                <w:rFonts w:hint="eastAsia" w:ascii="仿宋" w:hAnsi="仿宋" w:eastAsia="仿宋" w:cs="仿宋"/>
                <w:color w:val="000000"/>
                <w:sz w:val="24"/>
              </w:rPr>
              <w:t>AL-LMJ02驻地监理办</w:t>
            </w:r>
          </w:p>
        </w:tc>
        <w:tc>
          <w:tcPr>
            <w:tcW w:w="7585" w:type="dxa"/>
            <w:vAlign w:val="center"/>
          </w:tcPr>
          <w:p w14:paraId="154D4F9A">
            <w:pPr>
              <w:widowControl/>
              <w:rPr>
                <w:rFonts w:hint="eastAsia" w:ascii="仿宋_GB2312" w:hAnsi="仿宋" w:eastAsia="仿宋_GB2312"/>
                <w:color w:val="000000"/>
                <w:sz w:val="24"/>
              </w:rPr>
            </w:pPr>
            <w:r>
              <w:rPr>
                <w:rFonts w:hint="eastAsia" w:ascii="仿宋" w:hAnsi="仿宋" w:eastAsia="仿宋" w:cs="仿宋"/>
                <w:color w:val="000000"/>
                <w:sz w:val="24"/>
              </w:rPr>
              <w:t>具有独立法人资格；具备交通运输部审批的公路工程甲级监理资质或以上资质。</w:t>
            </w:r>
          </w:p>
        </w:tc>
      </w:tr>
    </w:tbl>
    <w:p w14:paraId="7ED93979">
      <w:pPr>
        <w:spacing w:line="360" w:lineRule="auto"/>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（2）业绩最低要求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7585"/>
      </w:tblGrid>
      <w:tr w14:paraId="21989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487" w:type="dxa"/>
            <w:vAlign w:val="center"/>
          </w:tcPr>
          <w:p w14:paraId="5874A912">
            <w:pPr>
              <w:tabs>
                <w:tab w:val="left" w:pos="1778"/>
              </w:tabs>
              <w:jc w:val="center"/>
              <w:rPr>
                <w:rFonts w:hint="eastAsia" w:ascii="仿宋_GB2312" w:hAnsi="仿宋" w:eastAsia="仿宋_GB2312"/>
                <w:b/>
                <w:color w:val="000000"/>
                <w:sz w:val="24"/>
              </w:rPr>
            </w:pPr>
            <w:r>
              <w:rPr>
                <w:rFonts w:hint="eastAsia" w:ascii="仿宋_GB2312" w:hAnsi="仿宋" w:eastAsia="仿宋_GB2312" w:cs="宋体"/>
                <w:b/>
                <w:color w:val="000000"/>
                <w:kern w:val="0"/>
                <w:sz w:val="24"/>
              </w:rPr>
              <w:t>标段</w:t>
            </w:r>
          </w:p>
        </w:tc>
        <w:tc>
          <w:tcPr>
            <w:tcW w:w="7585" w:type="dxa"/>
            <w:vAlign w:val="center"/>
          </w:tcPr>
          <w:p w14:paraId="7288274D">
            <w:pPr>
              <w:tabs>
                <w:tab w:val="left" w:pos="1778"/>
              </w:tabs>
              <w:jc w:val="center"/>
              <w:rPr>
                <w:rFonts w:hint="eastAsia" w:ascii="仿宋_GB2312" w:hAnsi="仿宋" w:eastAsia="仿宋_GB2312"/>
                <w:b/>
                <w:color w:val="000000"/>
                <w:sz w:val="24"/>
              </w:rPr>
            </w:pPr>
            <w:r>
              <w:rPr>
                <w:rFonts w:hint="eastAsia" w:ascii="仿宋_GB2312" w:hAnsi="仿宋" w:eastAsia="仿宋_GB2312"/>
                <w:b/>
                <w:color w:val="000000"/>
                <w:sz w:val="24"/>
              </w:rPr>
              <w:t>业  绩  要  求</w:t>
            </w:r>
          </w:p>
        </w:tc>
      </w:tr>
      <w:tr w14:paraId="30AC4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7" w:type="dxa"/>
            <w:vAlign w:val="center"/>
          </w:tcPr>
          <w:p w14:paraId="1BF223F3">
            <w:pPr>
              <w:jc w:val="center"/>
              <w:rPr>
                <w:rFonts w:hint="eastAsia" w:ascii="仿宋_GB2312" w:hAnsi="仿宋" w:eastAsia="仿宋_GB2312"/>
                <w:color w:val="000000"/>
                <w:sz w:val="24"/>
              </w:rPr>
            </w:pPr>
            <w:r>
              <w:rPr>
                <w:rFonts w:hint="eastAsia" w:ascii="仿宋" w:hAnsi="仿宋" w:eastAsia="仿宋" w:cs="仿宋"/>
                <w:color w:val="000000"/>
                <w:sz w:val="24"/>
              </w:rPr>
              <w:t>AL-LMJ02驻地监理办</w:t>
            </w:r>
          </w:p>
        </w:tc>
        <w:tc>
          <w:tcPr>
            <w:tcW w:w="7585" w:type="dxa"/>
            <w:vAlign w:val="center"/>
          </w:tcPr>
          <w:p w14:paraId="24E72E72">
            <w:pPr>
              <w:widowControl/>
              <w:rPr>
                <w:rFonts w:hint="eastAsia" w:ascii="仿宋" w:hAnsi="仿宋" w:eastAsia="仿宋" w:cs="仿宋"/>
                <w:color w:val="000000"/>
                <w:sz w:val="24"/>
              </w:rPr>
            </w:pPr>
            <w:r>
              <w:rPr>
                <w:rFonts w:hint="eastAsia" w:ascii="仿宋" w:hAnsi="仿宋" w:eastAsia="仿宋" w:cs="仿宋"/>
                <w:color w:val="000000"/>
                <w:sz w:val="24"/>
              </w:rPr>
              <w:t>2019年1月1日至投标截止时间：</w:t>
            </w:r>
          </w:p>
          <w:p w14:paraId="75CE124B">
            <w:pPr>
              <w:widowControl/>
              <w:rPr>
                <w:rFonts w:hint="eastAsia" w:ascii="仿宋" w:hAnsi="仿宋" w:eastAsia="仿宋" w:cs="仿宋"/>
                <w:color w:val="000000"/>
                <w:sz w:val="24"/>
              </w:rPr>
            </w:pPr>
            <w:r>
              <w:rPr>
                <w:rFonts w:hint="eastAsia" w:ascii="仿宋" w:hAnsi="仿宋" w:eastAsia="仿宋" w:cs="仿宋"/>
                <w:color w:val="000000"/>
                <w:sz w:val="24"/>
              </w:rPr>
              <w:t>至少独立完成过2个新建或改扩建高速公路路面工程施工监理合同段或包含路面工程的新建或改扩建高速公路项目施工监理合同段，且路面工程里程累计不少于50km（双幅）。</w:t>
            </w:r>
          </w:p>
        </w:tc>
      </w:tr>
    </w:tbl>
    <w:p w14:paraId="5A9391A9">
      <w:pPr>
        <w:widowControl/>
        <w:rPr>
          <w:rFonts w:hint="eastAsia" w:ascii="仿宋" w:hAnsi="仿宋" w:eastAsia="仿宋" w:cs="仿宋"/>
          <w:b/>
          <w:bCs/>
          <w:color w:val="000000"/>
          <w:sz w:val="24"/>
        </w:rPr>
      </w:pPr>
      <w:r>
        <w:rPr>
          <w:rFonts w:hint="eastAsia" w:ascii="仿宋" w:hAnsi="仿宋" w:eastAsia="仿宋" w:cs="仿宋"/>
          <w:b/>
          <w:bCs/>
          <w:color w:val="000000"/>
          <w:sz w:val="24"/>
        </w:rPr>
        <w:t>说明：业绩的完成和时间要求以交工验收为准，以下相同。</w:t>
      </w:r>
    </w:p>
    <w:p w14:paraId="12EE65C5">
      <w:pPr>
        <w:spacing w:line="360" w:lineRule="auto"/>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（3）信誉最低要求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7569"/>
      </w:tblGrid>
      <w:tr w14:paraId="655D9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2" w:type="dxa"/>
            <w:vAlign w:val="center"/>
          </w:tcPr>
          <w:p w14:paraId="0BAAC6A2">
            <w:pPr>
              <w:tabs>
                <w:tab w:val="left" w:pos="1778"/>
              </w:tabs>
              <w:jc w:val="center"/>
              <w:rPr>
                <w:rFonts w:hint="eastAsia" w:ascii="仿宋_GB2312" w:hAnsi="仿宋" w:eastAsia="仿宋_GB2312" w:cs="仿宋"/>
                <w:b/>
                <w:color w:val="000000"/>
                <w:sz w:val="24"/>
              </w:rPr>
            </w:pPr>
            <w:r>
              <w:rPr>
                <w:rFonts w:hint="eastAsia" w:ascii="仿宋_GB2312" w:hAnsi="仿宋" w:eastAsia="仿宋_GB2312" w:cs="仿宋"/>
                <w:b/>
                <w:color w:val="000000"/>
                <w:sz w:val="24"/>
              </w:rPr>
              <w:t>标段</w:t>
            </w:r>
          </w:p>
        </w:tc>
        <w:tc>
          <w:tcPr>
            <w:tcW w:w="7569" w:type="dxa"/>
            <w:vAlign w:val="center"/>
          </w:tcPr>
          <w:p w14:paraId="213DD9B9">
            <w:pPr>
              <w:tabs>
                <w:tab w:val="left" w:pos="1778"/>
              </w:tabs>
              <w:jc w:val="center"/>
              <w:rPr>
                <w:rFonts w:hint="eastAsia" w:ascii="仿宋_GB2312" w:hAnsi="仿宋" w:eastAsia="仿宋_GB2312" w:cs="仿宋"/>
                <w:b/>
                <w:color w:val="000000"/>
                <w:sz w:val="24"/>
              </w:rPr>
            </w:pPr>
            <w:r>
              <w:rPr>
                <w:rFonts w:hint="eastAsia" w:ascii="仿宋_GB2312" w:hAnsi="仿宋" w:eastAsia="仿宋_GB2312" w:cs="仿宋"/>
                <w:b/>
                <w:color w:val="000000"/>
                <w:sz w:val="24"/>
              </w:rPr>
              <w:t>信  誉  要  求</w:t>
            </w:r>
          </w:p>
        </w:tc>
      </w:tr>
      <w:tr w14:paraId="4DBA4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02" w:type="dxa"/>
            <w:vAlign w:val="center"/>
          </w:tcPr>
          <w:p w14:paraId="19F9969F">
            <w:pPr>
              <w:jc w:val="center"/>
              <w:rPr>
                <w:rFonts w:hint="eastAsia" w:ascii="仿宋_GB2312" w:hAnsi="仿宋" w:eastAsia="仿宋_GB2312" w:cs="仿宋"/>
                <w:color w:val="000000"/>
                <w:sz w:val="24"/>
              </w:rPr>
            </w:pPr>
            <w:r>
              <w:rPr>
                <w:rFonts w:hint="eastAsia" w:ascii="仿宋" w:hAnsi="仿宋" w:eastAsia="仿宋" w:cs="仿宋"/>
                <w:color w:val="000000"/>
                <w:sz w:val="24"/>
              </w:rPr>
              <w:t>AL-LMJ02驻地监理办</w:t>
            </w:r>
          </w:p>
        </w:tc>
        <w:tc>
          <w:tcPr>
            <w:tcW w:w="7569" w:type="dxa"/>
            <w:vAlign w:val="center"/>
          </w:tcPr>
          <w:p w14:paraId="29A9A17E">
            <w:pPr>
              <w:rPr>
                <w:rFonts w:hint="eastAsia" w:ascii="仿宋" w:hAnsi="仿宋" w:eastAsia="仿宋" w:cs="仿宋"/>
                <w:color w:val="000000"/>
                <w:sz w:val="24"/>
              </w:rPr>
            </w:pPr>
            <w:r>
              <w:rPr>
                <w:rFonts w:hint="eastAsia" w:ascii="仿宋" w:hAnsi="仿宋" w:eastAsia="仿宋" w:cs="仿宋"/>
                <w:color w:val="000000"/>
                <w:sz w:val="24"/>
              </w:rPr>
              <w:t>未被交通运输部或陕西省交通运输厅列为信用评价等级D级且处于有效期内。</w:t>
            </w:r>
          </w:p>
        </w:tc>
      </w:tr>
    </w:tbl>
    <w:p w14:paraId="67C0A642">
      <w:pPr>
        <w:spacing w:line="360" w:lineRule="auto"/>
        <w:ind w:firstLine="640" w:firstLineChars="200"/>
        <w:rPr>
          <w:rFonts w:hint="eastAsia" w:ascii="仿宋_GB2312" w:hAnsi="仿宋" w:eastAsia="仿宋_GB2312"/>
          <w:color w:val="000000"/>
          <w:sz w:val="32"/>
          <w:szCs w:val="32"/>
        </w:rPr>
      </w:pPr>
      <w:r>
        <w:rPr>
          <w:rFonts w:hint="eastAsia" w:ascii="仿宋_GB2312" w:hAnsi="仿宋" w:eastAsia="仿宋_GB2312"/>
          <w:color w:val="000000"/>
          <w:sz w:val="32"/>
          <w:szCs w:val="32"/>
        </w:rPr>
        <w:t>（4）主要人员最低要求</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050"/>
        <w:gridCol w:w="855"/>
        <w:gridCol w:w="5649"/>
      </w:tblGrid>
      <w:tr w14:paraId="4422A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1517" w:type="dxa"/>
            <w:vAlign w:val="center"/>
          </w:tcPr>
          <w:p w14:paraId="19A28F0B">
            <w:pPr>
              <w:tabs>
                <w:tab w:val="left" w:pos="1778"/>
              </w:tabs>
              <w:jc w:val="center"/>
              <w:rPr>
                <w:rFonts w:hint="eastAsia" w:ascii="仿宋_GB2312" w:hAnsi="仿宋" w:eastAsia="仿宋_GB2312" w:cs="仿宋"/>
                <w:b/>
                <w:bCs/>
                <w:color w:val="000000"/>
                <w:sz w:val="24"/>
              </w:rPr>
            </w:pPr>
            <w:r>
              <w:rPr>
                <w:rFonts w:hint="eastAsia" w:ascii="仿宋_GB2312" w:hAnsi="仿宋" w:eastAsia="仿宋_GB2312" w:cs="仿宋"/>
                <w:b/>
                <w:bCs/>
                <w:color w:val="000000"/>
                <w:sz w:val="24"/>
              </w:rPr>
              <w:t>标段</w:t>
            </w:r>
          </w:p>
        </w:tc>
        <w:tc>
          <w:tcPr>
            <w:tcW w:w="1050" w:type="dxa"/>
            <w:vAlign w:val="center"/>
          </w:tcPr>
          <w:p w14:paraId="692CFEE7">
            <w:pPr>
              <w:tabs>
                <w:tab w:val="left" w:pos="1778"/>
              </w:tabs>
              <w:jc w:val="center"/>
              <w:rPr>
                <w:rFonts w:hint="eastAsia" w:ascii="仿宋_GB2312" w:hAnsi="仿宋" w:eastAsia="仿宋_GB2312" w:cs="仿宋"/>
                <w:b/>
                <w:bCs/>
                <w:color w:val="000000"/>
                <w:sz w:val="24"/>
              </w:rPr>
            </w:pPr>
            <w:r>
              <w:rPr>
                <w:rFonts w:hint="eastAsia" w:ascii="仿宋_GB2312" w:hAnsi="仿宋" w:eastAsia="仿宋_GB2312" w:cs="仿宋"/>
                <w:b/>
                <w:bCs/>
                <w:color w:val="000000"/>
                <w:sz w:val="24"/>
              </w:rPr>
              <w:t>人员</w:t>
            </w:r>
          </w:p>
        </w:tc>
        <w:tc>
          <w:tcPr>
            <w:tcW w:w="855" w:type="dxa"/>
            <w:vAlign w:val="center"/>
          </w:tcPr>
          <w:p w14:paraId="03C9F6FF">
            <w:pPr>
              <w:tabs>
                <w:tab w:val="left" w:pos="1778"/>
              </w:tabs>
              <w:jc w:val="center"/>
              <w:rPr>
                <w:rFonts w:hint="eastAsia" w:ascii="仿宋_GB2312" w:hAnsi="仿宋" w:eastAsia="仿宋_GB2312" w:cs="仿宋"/>
                <w:b/>
                <w:bCs/>
                <w:color w:val="000000"/>
                <w:sz w:val="24"/>
              </w:rPr>
            </w:pPr>
            <w:r>
              <w:rPr>
                <w:rFonts w:hint="eastAsia" w:ascii="仿宋_GB2312" w:hAnsi="仿宋" w:eastAsia="仿宋_GB2312" w:cs="仿宋"/>
                <w:b/>
                <w:bCs/>
                <w:color w:val="000000"/>
                <w:sz w:val="24"/>
              </w:rPr>
              <w:t>数量</w:t>
            </w:r>
          </w:p>
        </w:tc>
        <w:tc>
          <w:tcPr>
            <w:tcW w:w="5649" w:type="dxa"/>
            <w:vAlign w:val="center"/>
          </w:tcPr>
          <w:p w14:paraId="58FC40C9">
            <w:pPr>
              <w:tabs>
                <w:tab w:val="left" w:pos="1778"/>
              </w:tabs>
              <w:jc w:val="center"/>
              <w:rPr>
                <w:rFonts w:hint="eastAsia" w:ascii="仿宋_GB2312" w:hAnsi="仿宋" w:eastAsia="仿宋_GB2312" w:cs="仿宋"/>
                <w:b/>
                <w:bCs/>
                <w:color w:val="000000"/>
                <w:sz w:val="24"/>
              </w:rPr>
            </w:pPr>
            <w:r>
              <w:rPr>
                <w:rFonts w:hint="eastAsia" w:ascii="仿宋_GB2312" w:hAnsi="仿宋" w:eastAsia="仿宋_GB2312" w:cs="仿宋"/>
                <w:b/>
                <w:bCs/>
                <w:color w:val="000000"/>
                <w:sz w:val="24"/>
              </w:rPr>
              <w:t>资  格  要  求</w:t>
            </w:r>
          </w:p>
        </w:tc>
      </w:tr>
      <w:tr w14:paraId="2B93A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517" w:type="dxa"/>
            <w:vAlign w:val="center"/>
          </w:tcPr>
          <w:p w14:paraId="52671995">
            <w:pPr>
              <w:jc w:val="center"/>
              <w:rPr>
                <w:rFonts w:hint="eastAsia" w:ascii="仿宋_GB2312" w:hAnsi="仿宋" w:eastAsia="仿宋_GB2312" w:cs="仿宋"/>
                <w:bCs/>
                <w:color w:val="000000"/>
                <w:sz w:val="24"/>
              </w:rPr>
            </w:pPr>
            <w:r>
              <w:rPr>
                <w:rFonts w:hint="eastAsia" w:ascii="仿宋" w:hAnsi="仿宋" w:eastAsia="仿宋" w:cs="仿宋"/>
                <w:color w:val="000000"/>
                <w:sz w:val="24"/>
              </w:rPr>
              <w:t>AL-LMJ02驻地监理办</w:t>
            </w:r>
          </w:p>
        </w:tc>
        <w:tc>
          <w:tcPr>
            <w:tcW w:w="1050" w:type="dxa"/>
            <w:vAlign w:val="center"/>
          </w:tcPr>
          <w:p w14:paraId="1179B31E">
            <w:pPr>
              <w:rPr>
                <w:rFonts w:hint="eastAsia" w:ascii="仿宋" w:hAnsi="仿宋" w:eastAsia="仿宋" w:cs="仿宋"/>
                <w:color w:val="000000"/>
                <w:sz w:val="24"/>
              </w:rPr>
            </w:pPr>
            <w:r>
              <w:rPr>
                <w:rFonts w:hint="eastAsia" w:ascii="仿宋" w:hAnsi="仿宋" w:eastAsia="仿宋" w:cs="仿宋"/>
                <w:color w:val="000000"/>
                <w:sz w:val="24"/>
              </w:rPr>
              <w:t>驻地监理工程师</w:t>
            </w:r>
          </w:p>
        </w:tc>
        <w:tc>
          <w:tcPr>
            <w:tcW w:w="855" w:type="dxa"/>
            <w:vAlign w:val="center"/>
          </w:tcPr>
          <w:p w14:paraId="0DD70714">
            <w:pPr>
              <w:jc w:val="center"/>
              <w:rPr>
                <w:rFonts w:hint="eastAsia" w:ascii="仿宋_GB2312" w:hAnsi="仿宋" w:eastAsia="仿宋_GB2312" w:cs="仿宋"/>
                <w:bCs/>
                <w:color w:val="000000"/>
                <w:sz w:val="24"/>
              </w:rPr>
            </w:pPr>
            <w:r>
              <w:rPr>
                <w:rFonts w:hint="eastAsia" w:ascii="仿宋_GB2312" w:hAnsi="仿宋" w:eastAsia="仿宋_GB2312" w:cs="仿宋"/>
                <w:bCs/>
                <w:color w:val="000000"/>
                <w:sz w:val="24"/>
              </w:rPr>
              <w:t>1</w:t>
            </w:r>
          </w:p>
        </w:tc>
        <w:tc>
          <w:tcPr>
            <w:tcW w:w="5649" w:type="dxa"/>
            <w:vAlign w:val="center"/>
          </w:tcPr>
          <w:p w14:paraId="2F96582B">
            <w:pPr>
              <w:rPr>
                <w:rFonts w:hint="eastAsia" w:ascii="仿宋_GB2312" w:hAnsi="仿宋" w:eastAsia="仿宋_GB2312" w:cs="仿宋"/>
                <w:bCs/>
                <w:color w:val="000000"/>
                <w:sz w:val="24"/>
              </w:rPr>
            </w:pPr>
            <w:r>
              <w:rPr>
                <w:rFonts w:hint="eastAsia" w:ascii="仿宋" w:hAnsi="仿宋" w:eastAsia="仿宋" w:cs="仿宋"/>
                <w:color w:val="000000"/>
                <w:sz w:val="24"/>
              </w:rPr>
              <w:t>公路工程相关专业高级或以上技术职称；持有交通运输部颁发的监理工程师证书；2019年1月1日至投标截止时间，担任过1个新建或改扩建高速公路路面工程施工监理合同段或包含路面工程的新建或改扩建高速公路项目施工监理合同段驻地监理工程师（或总监理工程师）职务。</w:t>
            </w:r>
          </w:p>
        </w:tc>
      </w:tr>
    </w:tbl>
    <w:p w14:paraId="4ECB052B">
      <w:pPr>
        <w:widowControl/>
        <w:rPr>
          <w:rFonts w:hint="eastAsia" w:ascii="仿宋" w:hAnsi="仿宋" w:eastAsia="仿宋" w:cs="仿宋"/>
          <w:b/>
          <w:bCs/>
          <w:color w:val="000000"/>
          <w:sz w:val="24"/>
        </w:rPr>
      </w:pPr>
      <w:r>
        <w:rPr>
          <w:rFonts w:hint="eastAsia" w:ascii="仿宋" w:hAnsi="仿宋" w:eastAsia="仿宋" w:cs="仿宋"/>
          <w:b/>
          <w:bCs/>
          <w:color w:val="000000"/>
          <w:sz w:val="24"/>
        </w:rPr>
        <w:t>说明：以上人员均要求无在岗项目，即指目前未在其他项目上任职，或虽在其他项目上任职但本项目中标后能够从该项目撤离。</w:t>
      </w:r>
    </w:p>
    <w:p w14:paraId="0872A084">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5）拟投入的其他监理人员在投标时不需填报，但须按招标文件规定做出相关承诺。人员最低要求在招标文件提供的合同附件中明确，具体人选名单由招标人和中标人在合同谈判阶段确定，经招标人审批后作为派驻本标段监理人员并作为合同履约考核的依据。如中标人拟派驻的监理人员数量和资格条件不满足合同附件的要求，招标人将取消其中标资格。</w:t>
      </w:r>
    </w:p>
    <w:p w14:paraId="5FC83A28">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2.本次招标不接受联合体投标。</w:t>
      </w:r>
    </w:p>
    <w:p w14:paraId="279EB22C">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3.投标人应进入交通运输部“全国公路建设市场信用信息管理系统”中的公路工程施工监理资质企业名录，且投标人名称和资质与该名录中的相应企业名称和资质完全一致。</w:t>
      </w:r>
    </w:p>
    <w:p w14:paraId="34B6099B">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4.单位负责人为同一人或存在控股、管理关系的不同单位，不得同时参加同一标段的投标，否则相关投标均无效。</w:t>
      </w:r>
    </w:p>
    <w:p w14:paraId="2E1DD981">
      <w:pPr>
        <w:spacing w:line="360" w:lineRule="auto"/>
        <w:ind w:left="60" w:firstLine="640" w:firstLineChars="200"/>
        <w:jc w:val="left"/>
        <w:rPr>
          <w:rFonts w:hint="eastAsia" w:ascii="仿宋" w:hAnsi="仿宋" w:eastAsia="仿宋" w:cs="宋体"/>
          <w:color w:val="000000"/>
          <w:sz w:val="32"/>
        </w:rPr>
      </w:pPr>
      <w:r>
        <w:rPr>
          <w:rFonts w:hint="eastAsia" w:ascii="仿宋" w:hAnsi="仿宋" w:eastAsia="仿宋" w:cs="宋体"/>
          <w:color w:val="000000"/>
          <w:sz w:val="32"/>
        </w:rPr>
        <w:t>5.同一单位以及单位负责人为同一人或者存在控股、管理关系的不同单位，不能同时获得施工标段及对应施工监理标段的中标资格(具有监理与被监理关系)。如若出现，将优先保留其施工标段的中标资格，取消其施工监理标段的中标资格。</w:t>
      </w:r>
    </w:p>
    <w:p w14:paraId="6E388BA6">
      <w:pPr>
        <w:spacing w:line="360" w:lineRule="auto"/>
        <w:ind w:left="60" w:firstLine="640" w:firstLineChars="200"/>
        <w:jc w:val="left"/>
        <w:rPr>
          <w:rFonts w:ascii="仿宋" w:hAnsi="仿宋" w:eastAsia="仿宋" w:cs="宋体"/>
          <w:color w:val="000000"/>
          <w:sz w:val="32"/>
        </w:rPr>
      </w:pPr>
      <w:r>
        <w:rPr>
          <w:rFonts w:hint="eastAsia" w:ascii="仿宋" w:hAnsi="仿宋" w:eastAsia="仿宋" w:cs="宋体"/>
          <w:color w:val="000000"/>
          <w:sz w:val="32"/>
        </w:rPr>
        <w:t>6.在“信用中国”网站中被列入失信被执行人名单的投标人，不得参加投标。</w:t>
      </w:r>
    </w:p>
    <w:p w14:paraId="3E752196">
      <w:pPr>
        <w:spacing w:line="360" w:lineRule="auto"/>
        <w:rPr>
          <w:rFonts w:hint="eastAsia" w:ascii="黑体" w:hAnsi="黑体" w:eastAsia="黑体" w:cs="黑体"/>
          <w:color w:val="000000"/>
          <w:sz w:val="32"/>
          <w:szCs w:val="32"/>
        </w:rPr>
      </w:pPr>
      <w:r>
        <w:rPr>
          <w:rFonts w:hint="eastAsia" w:ascii="黑体" w:hAnsi="黑体" w:eastAsia="黑体" w:cs="黑体"/>
          <w:color w:val="000000"/>
          <w:sz w:val="32"/>
          <w:szCs w:val="32"/>
        </w:rPr>
        <w:t>二</w:t>
      </w:r>
      <w:r>
        <w:rPr>
          <w:rFonts w:hint="eastAsia" w:ascii="黑体" w:hAnsi="黑体" w:eastAsia="黑体" w:cs="黑体"/>
          <w:color w:val="000000"/>
          <w:sz w:val="32"/>
          <w:szCs w:val="32"/>
          <w:lang w:eastAsia="en-US"/>
        </w:rPr>
        <w:t>、</w:t>
      </w:r>
      <w:r>
        <w:rPr>
          <w:rFonts w:hint="eastAsia" w:ascii="黑体" w:hAnsi="黑体" w:eastAsia="黑体" w:cs="黑体"/>
          <w:color w:val="000000"/>
          <w:sz w:val="32"/>
          <w:szCs w:val="32"/>
        </w:rPr>
        <w:t>评标办法</w:t>
      </w:r>
    </w:p>
    <w:tbl>
      <w:tblPr>
        <w:tblStyle w:val="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825"/>
        <w:gridCol w:w="309"/>
        <w:gridCol w:w="1560"/>
        <w:gridCol w:w="1134"/>
        <w:gridCol w:w="4677"/>
      </w:tblGrid>
      <w:tr w14:paraId="4AB2E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809" w:type="dxa"/>
            <w:gridSpan w:val="3"/>
            <w:vAlign w:val="center"/>
          </w:tcPr>
          <w:p w14:paraId="7B4C3E46">
            <w:pPr>
              <w:jc w:val="center"/>
              <w:rPr>
                <w:b/>
                <w:bCs/>
                <w:color w:val="000000"/>
                <w:szCs w:val="21"/>
              </w:rPr>
            </w:pPr>
            <w:r>
              <w:rPr>
                <w:b/>
                <w:bCs/>
                <w:color w:val="000000"/>
                <w:szCs w:val="21"/>
              </w:rPr>
              <w:t>条款号</w:t>
            </w:r>
          </w:p>
        </w:tc>
        <w:tc>
          <w:tcPr>
            <w:tcW w:w="7371" w:type="dxa"/>
            <w:gridSpan w:val="3"/>
            <w:vAlign w:val="center"/>
          </w:tcPr>
          <w:p w14:paraId="36FE092D">
            <w:pPr>
              <w:jc w:val="center"/>
              <w:rPr>
                <w:b/>
                <w:bCs/>
                <w:color w:val="000000"/>
                <w:szCs w:val="21"/>
              </w:rPr>
            </w:pPr>
            <w:r>
              <w:rPr>
                <w:b/>
                <w:bCs/>
                <w:color w:val="000000"/>
                <w:szCs w:val="21"/>
              </w:rPr>
              <w:t>编列内容</w:t>
            </w:r>
          </w:p>
        </w:tc>
      </w:tr>
      <w:tr w14:paraId="7E1F9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4C2F7CD9">
            <w:pPr>
              <w:jc w:val="center"/>
              <w:rPr>
                <w:color w:val="000000"/>
                <w:szCs w:val="21"/>
              </w:rPr>
            </w:pPr>
            <w:r>
              <w:rPr>
                <w:color w:val="000000"/>
                <w:szCs w:val="21"/>
              </w:rPr>
              <w:t>1</w:t>
            </w:r>
          </w:p>
        </w:tc>
        <w:tc>
          <w:tcPr>
            <w:tcW w:w="1134" w:type="dxa"/>
            <w:gridSpan w:val="2"/>
            <w:vAlign w:val="center"/>
          </w:tcPr>
          <w:p w14:paraId="54D576A9">
            <w:pPr>
              <w:jc w:val="center"/>
              <w:rPr>
                <w:color w:val="000000"/>
                <w:szCs w:val="21"/>
              </w:rPr>
            </w:pPr>
            <w:r>
              <w:rPr>
                <w:color w:val="000000"/>
                <w:szCs w:val="21"/>
              </w:rPr>
              <w:t>评标方法</w:t>
            </w:r>
          </w:p>
        </w:tc>
        <w:tc>
          <w:tcPr>
            <w:tcW w:w="7371" w:type="dxa"/>
            <w:gridSpan w:val="3"/>
            <w:vAlign w:val="center"/>
          </w:tcPr>
          <w:p w14:paraId="1C360577">
            <w:pPr>
              <w:spacing w:line="276" w:lineRule="auto"/>
              <w:ind w:firstLine="420" w:firstLineChars="200"/>
              <w:rPr>
                <w:rFonts w:hint="eastAsia"/>
              </w:rPr>
            </w:pPr>
            <w:bookmarkStart w:id="0" w:name="_Hlk528496662"/>
            <w:r>
              <w:rPr>
                <w:rFonts w:hint="eastAsia"/>
              </w:rPr>
              <w:t>本次评标采用综合评估法，资格后审。</w:t>
            </w:r>
          </w:p>
          <w:p w14:paraId="5F7C786D">
            <w:pPr>
              <w:spacing w:line="276" w:lineRule="auto"/>
              <w:ind w:firstLine="420" w:firstLineChars="200"/>
              <w:rPr>
                <w:rFonts w:hint="eastAsia"/>
              </w:rPr>
            </w:pPr>
            <w:r>
              <w:rPr>
                <w:rFonts w:hint="eastAsia"/>
              </w:rPr>
              <w:t>评标委员会对满足招标文件实质性要求的投标文件，按招标文件规定的评分标准进行打分，并按得分由高到低顺序推荐中标候选人，但投标报价低于其成本的除外。</w:t>
            </w:r>
          </w:p>
          <w:p w14:paraId="4524D167">
            <w:pPr>
              <w:spacing w:line="276" w:lineRule="auto"/>
              <w:ind w:firstLine="420" w:firstLineChars="200"/>
              <w:rPr>
                <w:rFonts w:hint="eastAsia"/>
              </w:rPr>
            </w:pPr>
            <w:r>
              <w:rPr>
                <w:rFonts w:hint="eastAsia"/>
              </w:rPr>
              <w:t xml:space="preserve">综合评分相等时，评标委员会依次按照以下优先顺序推荐中标候选人： </w:t>
            </w:r>
          </w:p>
          <w:p w14:paraId="30823429">
            <w:pPr>
              <w:spacing w:line="276" w:lineRule="auto"/>
              <w:ind w:firstLine="420" w:firstLineChars="200"/>
              <w:rPr>
                <w:rFonts w:hint="eastAsia"/>
              </w:rPr>
            </w:pPr>
            <w:r>
              <w:rPr>
                <w:rFonts w:hint="eastAsia"/>
              </w:rPr>
              <w:t>（1）评标价低的投标人优先；</w:t>
            </w:r>
          </w:p>
          <w:p w14:paraId="0E17D746">
            <w:pPr>
              <w:spacing w:line="276" w:lineRule="auto"/>
              <w:ind w:firstLine="420" w:firstLineChars="200"/>
              <w:rPr>
                <w:rFonts w:hint="eastAsia"/>
              </w:rPr>
            </w:pPr>
            <w:r>
              <w:rPr>
                <w:rFonts w:hint="eastAsia"/>
              </w:rPr>
              <w:t>（2）根据陕西省交通运输厅《关于陕西省2023年度公路建设市场从业企业信用评价结果应用的通知》（陕交函〔2024〕665号），评为较高信用等级的投标人优先；</w:t>
            </w:r>
          </w:p>
          <w:p w14:paraId="43AA4BC1">
            <w:pPr>
              <w:spacing w:line="276" w:lineRule="auto"/>
              <w:ind w:firstLine="420" w:firstLineChars="200"/>
              <w:rPr>
                <w:rFonts w:hint="eastAsia"/>
              </w:rPr>
            </w:pPr>
            <w:r>
              <w:rPr>
                <w:rFonts w:hint="eastAsia"/>
              </w:rPr>
              <w:t>（3）</w:t>
            </w:r>
            <w:bookmarkStart w:id="1" w:name="_Hlk518562565"/>
            <w:r>
              <w:rPr>
                <w:rFonts w:hint="eastAsia"/>
              </w:rPr>
              <w:t>技术建议书得分较高的投标人优先。</w:t>
            </w:r>
            <w:bookmarkEnd w:id="1"/>
            <w:r>
              <w:rPr>
                <w:rFonts w:hint="eastAsia"/>
              </w:rPr>
              <w:t xml:space="preserve"> </w:t>
            </w:r>
          </w:p>
          <w:bookmarkEnd w:id="0"/>
          <w:p w14:paraId="77291535">
            <w:pPr>
              <w:spacing w:line="276" w:lineRule="auto"/>
              <w:ind w:firstLine="420" w:firstLineChars="200"/>
              <w:rPr>
                <w:rFonts w:hint="eastAsia"/>
              </w:rPr>
            </w:pPr>
            <w:r>
              <w:t>同一单位以及单位负责人为同一人或者存在控股、管理关系的不同单位，不能同时获得对应工程施工及施工监理标段的中标资格（具有监理与被监理关系）。如若出现，将优先保留施工标段投标人的中标资格，取消施工监理标段投标人</w:t>
            </w:r>
            <w:r>
              <w:rPr>
                <w:rFonts w:hint="eastAsia"/>
              </w:rPr>
              <w:t>的</w:t>
            </w:r>
            <w:r>
              <w:t>中标资格。</w:t>
            </w:r>
          </w:p>
        </w:tc>
      </w:tr>
      <w:tr w14:paraId="43F78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trPr>
        <w:tc>
          <w:tcPr>
            <w:tcW w:w="675" w:type="dxa"/>
            <w:vAlign w:val="center"/>
          </w:tcPr>
          <w:p w14:paraId="1D6D56CE">
            <w:pPr>
              <w:jc w:val="center"/>
              <w:rPr>
                <w:color w:val="000000"/>
                <w:szCs w:val="21"/>
              </w:rPr>
            </w:pPr>
            <w:r>
              <w:rPr>
                <w:color w:val="000000"/>
                <w:szCs w:val="21"/>
              </w:rPr>
              <w:t>2.1.1</w:t>
            </w:r>
          </w:p>
        </w:tc>
        <w:tc>
          <w:tcPr>
            <w:tcW w:w="1134" w:type="dxa"/>
            <w:gridSpan w:val="2"/>
            <w:vAlign w:val="center"/>
          </w:tcPr>
          <w:p w14:paraId="06A7D051">
            <w:pPr>
              <w:jc w:val="center"/>
              <w:rPr>
                <w:color w:val="000000"/>
                <w:szCs w:val="21"/>
              </w:rPr>
            </w:pPr>
            <w:r>
              <w:rPr>
                <w:color w:val="000000"/>
                <w:szCs w:val="21"/>
              </w:rPr>
              <w:t>形式评审与响应性评审标准</w:t>
            </w:r>
          </w:p>
        </w:tc>
        <w:tc>
          <w:tcPr>
            <w:tcW w:w="7371" w:type="dxa"/>
            <w:gridSpan w:val="3"/>
            <w:vAlign w:val="center"/>
          </w:tcPr>
          <w:p w14:paraId="6EEF5EBB">
            <w:pPr>
              <w:ind w:firstLine="420" w:firstLineChars="200"/>
              <w:jc w:val="left"/>
              <w:rPr>
                <w:rFonts w:hint="eastAsia" w:ascii="宋体" w:hAnsi="宋体" w:cs="宋体"/>
                <w:szCs w:val="18"/>
              </w:rPr>
            </w:pPr>
            <w:r>
              <w:rPr>
                <w:rFonts w:hint="eastAsia" w:ascii="宋体" w:hAnsi="宋体" w:cs="宋体"/>
                <w:szCs w:val="18"/>
              </w:rPr>
              <w:t>第一个信封（商务及技术文件）评审标准：</w:t>
            </w:r>
          </w:p>
          <w:p w14:paraId="70122BAF">
            <w:pPr>
              <w:ind w:firstLine="420" w:firstLineChars="200"/>
              <w:jc w:val="left"/>
              <w:rPr>
                <w:rFonts w:hint="eastAsia" w:ascii="宋体" w:hAnsi="宋体" w:cs="宋体"/>
                <w:szCs w:val="18"/>
              </w:rPr>
            </w:pPr>
            <w:r>
              <w:rPr>
                <w:rFonts w:hint="eastAsia" w:ascii="宋体" w:hAnsi="宋体" w:cs="宋体"/>
                <w:szCs w:val="18"/>
              </w:rPr>
              <w:t>（1）投标文件按照招标文件规定的格式、内容填写，字迹清晰可辨：</w:t>
            </w:r>
          </w:p>
          <w:p w14:paraId="0422CD3E">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szCs w:val="18"/>
              </w:rPr>
              <w:t>a．投标函按招标文件规定填报了项目名称、标段号、补遗书编号（如有）、监</w:t>
            </w:r>
            <w:r>
              <w:rPr>
                <w:rFonts w:hint="eastAsia" w:ascii="宋体" w:hAnsi="宋体" w:cs="宋体"/>
                <w:color w:val="000000" w:themeColor="text1"/>
                <w:szCs w:val="18"/>
                <w:highlight w:val="none"/>
                <w14:textFill>
                  <w14:solidFill>
                    <w14:schemeClr w14:val="tx1"/>
                  </w14:solidFill>
                </w14:textFill>
              </w:rPr>
              <w:t>理服务期、工程质量要求及安全目标；</w:t>
            </w:r>
          </w:p>
          <w:p w14:paraId="46286FF5">
            <w:pPr>
              <w:ind w:firstLine="420" w:firstLineChars="200"/>
              <w:jc w:val="left"/>
              <w:rPr>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b．</w:t>
            </w:r>
            <w:r>
              <w:rPr>
                <w:color w:val="000000" w:themeColor="text1"/>
                <w:szCs w:val="18"/>
                <w:highlight w:val="none"/>
                <w14:textFill>
                  <w14:solidFill>
                    <w14:schemeClr w14:val="tx1"/>
                  </w14:solidFill>
                </w14:textFill>
              </w:rPr>
              <w:t>投标文件组成齐全完整，</w:t>
            </w:r>
            <w:r>
              <w:rPr>
                <w:rFonts w:hint="eastAsia"/>
                <w:color w:val="000000" w:themeColor="text1"/>
                <w:szCs w:val="18"/>
                <w:highlight w:val="none"/>
                <w14:textFill>
                  <w14:solidFill>
                    <w14:schemeClr w14:val="tx1"/>
                  </w14:solidFill>
                </w14:textFill>
              </w:rPr>
              <w:t>提供的相关资料符合招标文件规定，</w:t>
            </w:r>
            <w:r>
              <w:rPr>
                <w:color w:val="000000" w:themeColor="text1"/>
                <w:szCs w:val="18"/>
                <w:highlight w:val="none"/>
                <w14:textFill>
                  <w14:solidFill>
                    <w14:schemeClr w14:val="tx1"/>
                  </w14:solidFill>
                </w14:textFill>
              </w:rPr>
              <w:t>内容均按规定填写</w:t>
            </w:r>
            <w:r>
              <w:rPr>
                <w:rFonts w:hint="eastAsia"/>
                <w:color w:val="000000" w:themeColor="text1"/>
                <w:szCs w:val="18"/>
                <w:highlight w:val="none"/>
                <w14:textFill>
                  <w14:solidFill>
                    <w14:schemeClr w14:val="tx1"/>
                  </w14:solidFill>
                </w14:textFill>
              </w:rPr>
              <w:t>（包括相应备注、附表所要求的内容）</w:t>
            </w:r>
            <w:r>
              <w:rPr>
                <w:color w:val="000000" w:themeColor="text1"/>
                <w:szCs w:val="18"/>
                <w:highlight w:val="none"/>
                <w14:textFill>
                  <w14:solidFill>
                    <w14:schemeClr w14:val="tx1"/>
                  </w14:solidFill>
                </w14:textFill>
              </w:rPr>
              <w:t>。</w:t>
            </w:r>
          </w:p>
          <w:p w14:paraId="185BD8D5">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（2）投标文件上法定代表人或其委托代理人的</w:t>
            </w:r>
            <w:r>
              <w:rPr>
                <w:color w:val="000000" w:themeColor="text1"/>
                <w:szCs w:val="18"/>
                <w:highlight w:val="none"/>
                <w14:textFill>
                  <w14:solidFill>
                    <w14:schemeClr w14:val="tx1"/>
                  </w14:solidFill>
                </w14:textFill>
              </w:rPr>
              <w:t>签字</w:t>
            </w:r>
            <w:r>
              <w:rPr>
                <w:rFonts w:hint="eastAsia"/>
                <w:color w:val="000000" w:themeColor="text1"/>
                <w:szCs w:val="18"/>
                <w:highlight w:val="none"/>
                <w14:textFill>
                  <w14:solidFill>
                    <w14:schemeClr w14:val="tx1"/>
                  </w14:solidFill>
                </w14:textFill>
              </w:rPr>
              <w:t>或盖章</w:t>
            </w:r>
            <w:r>
              <w:rPr>
                <w:rFonts w:hint="eastAsia" w:ascii="宋体" w:hAnsi="宋体" w:cs="宋体"/>
                <w:color w:val="000000" w:themeColor="text1"/>
                <w:szCs w:val="18"/>
                <w:highlight w:val="none"/>
                <w14:textFill>
                  <w14:solidFill>
                    <w14:schemeClr w14:val="tx1"/>
                  </w14:solidFill>
                </w14:textFill>
              </w:rPr>
              <w:t>、投标人的单位章盖章齐全，符合招标文件规定。</w:t>
            </w:r>
          </w:p>
          <w:p w14:paraId="169A1A28">
            <w:pPr>
              <w:ind w:firstLine="420" w:firstLineChars="200"/>
              <w:jc w:val="left"/>
              <w:rPr>
                <w:rFonts w:hint="eastAsia" w:ascii="宋体" w:hAnsi="宋体" w:cs="宋体"/>
                <w:szCs w:val="18"/>
              </w:rPr>
            </w:pPr>
            <w:r>
              <w:rPr>
                <w:rFonts w:hint="eastAsia" w:ascii="宋体" w:hAnsi="宋体" w:cs="宋体"/>
                <w:szCs w:val="18"/>
              </w:rPr>
              <w:t>（3）投标人按照招标文件规定提供了投标保证金：</w:t>
            </w:r>
          </w:p>
          <w:p w14:paraId="30EA1B8B">
            <w:pPr>
              <w:ind w:firstLine="420" w:firstLineChars="200"/>
              <w:jc w:val="left"/>
              <w:rPr>
                <w:rFonts w:hint="eastAsia" w:ascii="宋体" w:hAnsi="宋体" w:cs="宋体"/>
                <w:szCs w:val="18"/>
              </w:rPr>
            </w:pPr>
            <w:r>
              <w:rPr>
                <w:rFonts w:hint="eastAsia" w:ascii="宋体" w:hAnsi="宋体" w:cs="宋体"/>
                <w:szCs w:val="18"/>
              </w:rPr>
              <w:t>a．投标保证金金额符合招标文件规定的金额，且投标保证金有效期不少于投标有效期；</w:t>
            </w:r>
          </w:p>
          <w:p w14:paraId="202F6104">
            <w:pPr>
              <w:ind w:firstLine="420" w:firstLineChars="200"/>
              <w:jc w:val="left"/>
              <w:rPr>
                <w:rFonts w:hint="eastAsia" w:ascii="宋体" w:hAnsi="宋体" w:cs="宋体"/>
                <w:szCs w:val="18"/>
              </w:rPr>
            </w:pPr>
            <w:r>
              <w:rPr>
                <w:rFonts w:hint="eastAsia" w:ascii="宋体" w:hAnsi="宋体" w:cs="宋体"/>
                <w:szCs w:val="18"/>
              </w:rPr>
              <w:t>b．若投标保证金采用现金或支票形式提交，投标人应在递交投标文件截止时间之前，将投标保证金由投标人的基本账户转入招标人指定账户；</w:t>
            </w:r>
          </w:p>
          <w:p w14:paraId="54A98ECC">
            <w:pPr>
              <w:ind w:firstLine="420" w:firstLineChars="200"/>
              <w:jc w:val="left"/>
              <w:rPr>
                <w:rFonts w:hint="eastAsia" w:ascii="宋体" w:hAnsi="宋体" w:cs="宋体"/>
                <w:szCs w:val="18"/>
              </w:rPr>
            </w:pPr>
            <w:r>
              <w:rPr>
                <w:rFonts w:hint="eastAsia" w:ascii="宋体" w:hAnsi="宋体" w:cs="宋体"/>
                <w:szCs w:val="18"/>
              </w:rPr>
              <w:t>c．若投标保证金采用银行保函形式提交，银行保函的格式、开具保函的银行均满足招标文件要求，且在递交投标文件截止时间之前向招标人提交了银行保函原件及权限说明（如有）。</w:t>
            </w:r>
          </w:p>
          <w:p w14:paraId="07D818BB">
            <w:pPr>
              <w:ind w:firstLine="420" w:firstLineChars="200"/>
              <w:jc w:val="left"/>
              <w:rPr>
                <w:rFonts w:hint="eastAsia" w:ascii="宋体" w:hAnsi="宋体" w:cs="宋体"/>
                <w:szCs w:val="18"/>
              </w:rPr>
            </w:pPr>
            <w:r>
              <w:rPr>
                <w:rFonts w:hint="eastAsia" w:ascii="宋体" w:hAnsi="宋体" w:cs="宋体"/>
                <w:szCs w:val="18"/>
              </w:rPr>
              <w:t>（4）投标人法定代表人授权委托代理人签署投标文件的，须提交授权委托书，且授权人和被授权人均在授权委托书上</w:t>
            </w:r>
            <w:r>
              <w:rPr>
                <w:szCs w:val="18"/>
              </w:rPr>
              <w:t>签字</w:t>
            </w:r>
            <w:r>
              <w:rPr>
                <w:rFonts w:hint="eastAsia"/>
                <w:szCs w:val="18"/>
              </w:rPr>
              <w:t>或盖章</w:t>
            </w:r>
            <w:r>
              <w:rPr>
                <w:rFonts w:hint="eastAsia" w:ascii="宋体" w:hAnsi="宋体" w:cs="宋体"/>
                <w:szCs w:val="18"/>
              </w:rPr>
              <w:t>。</w:t>
            </w:r>
          </w:p>
          <w:p w14:paraId="083971A3">
            <w:pPr>
              <w:ind w:firstLine="420" w:firstLineChars="200"/>
              <w:jc w:val="left"/>
              <w:rPr>
                <w:rFonts w:hint="eastAsia" w:ascii="宋体" w:hAnsi="宋体" w:cs="宋体"/>
                <w:szCs w:val="18"/>
              </w:rPr>
            </w:pPr>
            <w:r>
              <w:rPr>
                <w:rFonts w:hint="eastAsia" w:ascii="宋体" w:hAnsi="宋体" w:cs="宋体"/>
                <w:szCs w:val="18"/>
              </w:rPr>
              <w:t>（5）投标人法定代表人亲自签署投标文件的，提供了法定代表人身份证明，且法定代表人在法定代表人身份证明上</w:t>
            </w:r>
            <w:r>
              <w:rPr>
                <w:szCs w:val="18"/>
              </w:rPr>
              <w:t>签字</w:t>
            </w:r>
            <w:r>
              <w:rPr>
                <w:rFonts w:hint="eastAsia"/>
                <w:szCs w:val="18"/>
              </w:rPr>
              <w:t>或盖章</w:t>
            </w:r>
            <w:r>
              <w:rPr>
                <w:rFonts w:hint="eastAsia" w:ascii="宋体" w:hAnsi="宋体" w:cs="宋体"/>
                <w:szCs w:val="18"/>
              </w:rPr>
              <w:t>。</w:t>
            </w:r>
          </w:p>
          <w:p w14:paraId="1EC93A6E">
            <w:pPr>
              <w:ind w:firstLine="420" w:firstLineChars="200"/>
              <w:jc w:val="left"/>
              <w:rPr>
                <w:rFonts w:ascii="宋体" w:hAnsi="宋体" w:cs="宋体"/>
                <w:szCs w:val="18"/>
              </w:rPr>
            </w:pPr>
            <w:r>
              <w:rPr>
                <w:rFonts w:hint="eastAsia" w:ascii="宋体" w:hAnsi="宋体" w:cs="宋体"/>
                <w:szCs w:val="18"/>
              </w:rPr>
              <w:t>（6）投标人未以联合体形式投标。</w:t>
            </w:r>
          </w:p>
          <w:p w14:paraId="28D35AFD">
            <w:pPr>
              <w:ind w:firstLine="420" w:firstLineChars="200"/>
              <w:jc w:val="left"/>
              <w:rPr>
                <w:rFonts w:hint="eastAsia" w:ascii="宋体" w:hAnsi="宋体" w:cs="宋体"/>
                <w:szCs w:val="18"/>
              </w:rPr>
            </w:pPr>
            <w:r>
              <w:rPr>
                <w:rFonts w:hint="eastAsia" w:ascii="宋体" w:hAnsi="宋体" w:cs="宋体"/>
                <w:szCs w:val="18"/>
              </w:rPr>
              <w:t>（</w:t>
            </w:r>
            <w:r>
              <w:rPr>
                <w:rFonts w:ascii="宋体" w:hAnsi="宋体" w:cs="宋体"/>
                <w:szCs w:val="18"/>
              </w:rPr>
              <w:t>7</w:t>
            </w:r>
            <w:r>
              <w:rPr>
                <w:rFonts w:hint="eastAsia" w:ascii="宋体" w:hAnsi="宋体" w:cs="宋体"/>
                <w:szCs w:val="18"/>
              </w:rPr>
              <w:t>）同一投标人未提交两个以上不同的投标文件。</w:t>
            </w:r>
          </w:p>
          <w:p w14:paraId="4F566B42">
            <w:pPr>
              <w:ind w:firstLine="420" w:firstLineChars="200"/>
              <w:jc w:val="left"/>
              <w:rPr>
                <w:rFonts w:hint="eastAsia" w:ascii="宋体" w:hAnsi="宋体" w:cs="宋体"/>
                <w:szCs w:val="18"/>
              </w:rPr>
            </w:pPr>
            <w:r>
              <w:rPr>
                <w:rFonts w:hint="eastAsia" w:ascii="宋体" w:hAnsi="宋体" w:cs="宋体"/>
                <w:szCs w:val="18"/>
              </w:rPr>
              <w:t>（</w:t>
            </w:r>
            <w:r>
              <w:rPr>
                <w:rFonts w:ascii="宋体" w:hAnsi="宋体" w:cs="宋体"/>
                <w:szCs w:val="18"/>
              </w:rPr>
              <w:t>8</w:t>
            </w:r>
            <w:r>
              <w:rPr>
                <w:rFonts w:hint="eastAsia" w:ascii="宋体" w:hAnsi="宋体" w:cs="宋体"/>
                <w:szCs w:val="18"/>
              </w:rPr>
              <w:t>）投标文件中未出现有关投标报价的内容。</w:t>
            </w:r>
          </w:p>
          <w:p w14:paraId="415DAA87">
            <w:pPr>
              <w:ind w:firstLine="420" w:firstLineChars="200"/>
              <w:jc w:val="left"/>
              <w:rPr>
                <w:rFonts w:hint="eastAsia" w:ascii="宋体" w:hAnsi="宋体" w:cs="宋体"/>
                <w:szCs w:val="18"/>
              </w:rPr>
            </w:pPr>
            <w:r>
              <w:rPr>
                <w:rFonts w:hint="eastAsia" w:ascii="宋体" w:hAnsi="宋体" w:cs="宋体"/>
                <w:szCs w:val="18"/>
              </w:rPr>
              <w:t>（</w:t>
            </w:r>
            <w:r>
              <w:rPr>
                <w:rFonts w:ascii="宋体" w:hAnsi="宋体" w:cs="宋体"/>
                <w:szCs w:val="18"/>
              </w:rPr>
              <w:t>9</w:t>
            </w:r>
            <w:r>
              <w:rPr>
                <w:rFonts w:hint="eastAsia" w:ascii="宋体" w:hAnsi="宋体" w:cs="宋体"/>
                <w:szCs w:val="18"/>
              </w:rPr>
              <w:t>）投标文件载明的招标项目完成期限符合招标文件规定的时限。</w:t>
            </w:r>
          </w:p>
          <w:p w14:paraId="4163D7EE">
            <w:pPr>
              <w:ind w:firstLine="420" w:firstLineChars="200"/>
              <w:jc w:val="left"/>
              <w:rPr>
                <w:rFonts w:hint="eastAsia" w:ascii="宋体" w:hAnsi="宋体" w:cs="宋体"/>
                <w:szCs w:val="18"/>
              </w:rPr>
            </w:pPr>
            <w:r>
              <w:rPr>
                <w:rFonts w:hint="eastAsia" w:ascii="宋体" w:hAnsi="宋体" w:cs="宋体"/>
                <w:szCs w:val="18"/>
              </w:rPr>
              <w:t>（</w:t>
            </w:r>
            <w:r>
              <w:rPr>
                <w:rFonts w:ascii="宋体" w:hAnsi="宋体" w:cs="宋体"/>
                <w:szCs w:val="18"/>
              </w:rPr>
              <w:t>10</w:t>
            </w:r>
            <w:r>
              <w:rPr>
                <w:rFonts w:hint="eastAsia" w:ascii="宋体" w:hAnsi="宋体" w:cs="宋体"/>
                <w:szCs w:val="18"/>
              </w:rPr>
              <w:t>）投标文件对招标文件的实质性要求和条件作出响应。</w:t>
            </w:r>
          </w:p>
          <w:p w14:paraId="2E5FABF7">
            <w:pPr>
              <w:ind w:firstLine="420" w:firstLineChars="200"/>
              <w:jc w:val="left"/>
              <w:rPr>
                <w:rFonts w:hint="eastAsia" w:ascii="宋体" w:hAnsi="宋体" w:cs="宋体"/>
                <w:szCs w:val="18"/>
              </w:rPr>
            </w:pPr>
            <w:r>
              <w:rPr>
                <w:rFonts w:hint="eastAsia" w:ascii="宋体" w:hAnsi="宋体" w:cs="宋体"/>
                <w:szCs w:val="18"/>
              </w:rPr>
              <w:t>（1</w:t>
            </w:r>
            <w:r>
              <w:rPr>
                <w:rFonts w:ascii="宋体" w:hAnsi="宋体" w:cs="宋体"/>
                <w:szCs w:val="18"/>
              </w:rPr>
              <w:t>1</w:t>
            </w:r>
            <w:r>
              <w:rPr>
                <w:rFonts w:hint="eastAsia" w:ascii="宋体" w:hAnsi="宋体" w:cs="宋体"/>
                <w:szCs w:val="18"/>
              </w:rPr>
              <w:t>）权利义务符合招标文件规定：</w:t>
            </w:r>
          </w:p>
          <w:p w14:paraId="2754E8CA">
            <w:pPr>
              <w:ind w:firstLine="420" w:firstLineChars="200"/>
              <w:jc w:val="left"/>
              <w:rPr>
                <w:rFonts w:hint="eastAsia" w:ascii="宋体" w:hAnsi="宋体" w:cs="宋体"/>
                <w:szCs w:val="18"/>
              </w:rPr>
            </w:pPr>
            <w:r>
              <w:rPr>
                <w:rFonts w:hint="eastAsia" w:ascii="宋体" w:hAnsi="宋体" w:cs="宋体"/>
                <w:szCs w:val="18"/>
              </w:rPr>
              <w:t>a.投标人应接受招标文件规定的风险划分原则，未提出新的风险划分办法；</w:t>
            </w:r>
          </w:p>
          <w:p w14:paraId="7F7360D9">
            <w:pPr>
              <w:ind w:firstLine="420" w:firstLineChars="200"/>
              <w:jc w:val="left"/>
              <w:rPr>
                <w:rFonts w:hint="eastAsia" w:ascii="宋体" w:hAnsi="宋体" w:cs="宋体"/>
                <w:szCs w:val="18"/>
              </w:rPr>
            </w:pPr>
            <w:r>
              <w:rPr>
                <w:rFonts w:hint="eastAsia" w:ascii="宋体" w:hAnsi="宋体" w:cs="宋体"/>
                <w:szCs w:val="18"/>
              </w:rPr>
              <w:t>b.投标人未增加招标人的责任范围，或减少投标人义务；</w:t>
            </w:r>
          </w:p>
          <w:p w14:paraId="08577260">
            <w:pPr>
              <w:ind w:firstLine="420" w:firstLineChars="200"/>
              <w:jc w:val="left"/>
              <w:rPr>
                <w:rFonts w:hint="eastAsia" w:ascii="宋体" w:hAnsi="宋体" w:cs="宋体"/>
                <w:szCs w:val="18"/>
              </w:rPr>
            </w:pPr>
            <w:r>
              <w:rPr>
                <w:rFonts w:hint="eastAsia" w:ascii="宋体" w:hAnsi="宋体" w:cs="宋体"/>
                <w:szCs w:val="18"/>
              </w:rPr>
              <w:t>c.投标人未提出不同的计量、支付办法；</w:t>
            </w:r>
          </w:p>
          <w:p w14:paraId="1DCB8500">
            <w:pPr>
              <w:ind w:firstLine="420" w:firstLineChars="200"/>
              <w:jc w:val="left"/>
              <w:rPr>
                <w:rFonts w:hint="eastAsia" w:ascii="宋体" w:hAnsi="宋体" w:cs="宋体"/>
                <w:szCs w:val="18"/>
              </w:rPr>
            </w:pPr>
            <w:r>
              <w:rPr>
                <w:rFonts w:hint="eastAsia" w:ascii="宋体" w:hAnsi="宋体" w:cs="宋体"/>
                <w:szCs w:val="18"/>
              </w:rPr>
              <w:t>d.投标人未对合同纠纷、事故处理办法提出异议；</w:t>
            </w:r>
          </w:p>
          <w:p w14:paraId="23BA065A">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e.投标人在投标活动中无欺诈行为；</w:t>
            </w:r>
          </w:p>
          <w:p w14:paraId="32926AC3">
            <w:pPr>
              <w:ind w:firstLine="420" w:firstLineChars="200"/>
              <w:jc w:val="left"/>
              <w:rPr>
                <w:rFonts w:hint="eastAsia" w:ascii="宋体" w:hAnsi="宋体" w:cs="宋体"/>
                <w:color w:val="000000" w:themeColor="text1"/>
                <w:szCs w:val="18"/>
                <w:highlight w:val="none"/>
                <w14:textFill>
                  <w14:solidFill>
                    <w14:schemeClr w14:val="tx1"/>
                  </w14:solidFill>
                </w14:textFill>
              </w:rPr>
            </w:pPr>
            <w:r>
              <w:rPr>
                <w:rFonts w:hint="eastAsia" w:ascii="宋体" w:hAnsi="宋体" w:cs="宋体"/>
                <w:color w:val="000000" w:themeColor="text1"/>
                <w:szCs w:val="18"/>
                <w:highlight w:val="none"/>
                <w14:textFill>
                  <w14:solidFill>
                    <w14:schemeClr w14:val="tx1"/>
                  </w14:solidFill>
                </w14:textFill>
              </w:rPr>
              <w:t>f.投标人未对合同条款有重要保留；</w:t>
            </w:r>
          </w:p>
          <w:p w14:paraId="361679EE">
            <w:pPr>
              <w:autoSpaceDE w:val="0"/>
              <w:autoSpaceDN w:val="0"/>
              <w:adjustRightInd w:val="0"/>
              <w:ind w:firstLine="420" w:firstLineChars="200"/>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12</w:t>
            </w:r>
            <w:r>
              <w:rPr>
                <w:rFonts w:ascii="Times New Roman" w:hAnsi="Times New Roman"/>
                <w:color w:val="000000" w:themeColor="text1"/>
                <w:szCs w:val="21"/>
                <w:highlight w:val="none"/>
                <w14:textFill>
                  <w14:solidFill>
                    <w14:schemeClr w14:val="tx1"/>
                  </w14:solidFill>
                </w14:textFill>
              </w:rPr>
              <w:t>）投标文件正、副本份数符合招标文件第二章“投标人须知”第3.7.4项规定</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Times New Roman"/>
                <w:color w:val="000000" w:themeColor="text1"/>
                <w:szCs w:val="21"/>
                <w:highlight w:val="none"/>
                <w14:textFill>
                  <w14:solidFill>
                    <w14:schemeClr w14:val="tx1"/>
                  </w14:solidFill>
                </w14:textFill>
              </w:rPr>
              <w:t>。</w:t>
            </w:r>
          </w:p>
          <w:p w14:paraId="1750770E">
            <w:pPr>
              <w:autoSpaceDE w:val="0"/>
              <w:autoSpaceDN w:val="0"/>
              <w:adjustRightInd w:val="0"/>
              <w:ind w:firstLine="420" w:firstLineChars="200"/>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13</w:t>
            </w:r>
            <w:r>
              <w:rPr>
                <w:rFonts w:ascii="Times New Roman" w:hAnsi="Times New Roman"/>
                <w:color w:val="000000" w:themeColor="text1"/>
                <w:szCs w:val="21"/>
                <w:highlight w:val="none"/>
                <w14:textFill>
                  <w14:solidFill>
                    <w14:schemeClr w14:val="tx1"/>
                  </w14:solidFill>
                </w14:textFill>
              </w:rPr>
              <w:t>）投标文件封套、投标函标明的标段、单位名称及内容一致</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Times New Roman"/>
                <w:color w:val="000000" w:themeColor="text1"/>
                <w:szCs w:val="21"/>
                <w:highlight w:val="none"/>
                <w14:textFill>
                  <w14:solidFill>
                    <w14:schemeClr w14:val="tx1"/>
                  </w14:solidFill>
                </w14:textFill>
              </w:rPr>
              <w:t>。</w:t>
            </w:r>
          </w:p>
          <w:p w14:paraId="04F41487">
            <w:pPr>
              <w:autoSpaceDE w:val="0"/>
              <w:autoSpaceDN w:val="0"/>
              <w:adjustRightInd w:val="0"/>
              <w:ind w:firstLine="420" w:firstLineChars="200"/>
              <w:rPr>
                <w:rFonts w:ascii="Times New Roman" w:hAnsi="Times New Roman" w:eastAsia="等线"/>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14</w:t>
            </w:r>
            <w:r>
              <w:rPr>
                <w:rFonts w:ascii="Times New Roman" w:hAnsi="Times New Roman"/>
                <w:color w:val="000000" w:themeColor="text1"/>
                <w:szCs w:val="21"/>
                <w:highlight w:val="none"/>
                <w14:textFill>
                  <w14:solidFill>
                    <w14:schemeClr w14:val="tx1"/>
                  </w14:solidFill>
                </w14:textFill>
              </w:rPr>
              <w:t>）不同投标人的投标文件未相互混装</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等线" w:eastAsia="等线"/>
                <w:color w:val="000000" w:themeColor="text1"/>
                <w:szCs w:val="21"/>
                <w:highlight w:val="none"/>
                <w14:textFill>
                  <w14:solidFill>
                    <w14:schemeClr w14:val="tx1"/>
                  </w14:solidFill>
                </w14:textFill>
              </w:rPr>
              <w:t>。</w:t>
            </w:r>
          </w:p>
          <w:p w14:paraId="22C43A9D">
            <w:pPr>
              <w:spacing w:line="276" w:lineRule="auto"/>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第二个信封（报价文件）评审标准：</w:t>
            </w:r>
          </w:p>
          <w:p w14:paraId="5D095C05">
            <w:pPr>
              <w:snapToGrid w:val="0"/>
              <w:spacing w:line="240" w:lineRule="atLeas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（1）投标文件按招标文件规定的格式、内容填写，字迹清晰可辨，内容齐全完整：</w:t>
            </w:r>
          </w:p>
          <w:p w14:paraId="4B1C147E">
            <w:pPr>
              <w:snapToGrid w:val="0"/>
              <w:spacing w:line="240" w:lineRule="atLeas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a．投标函按招标文件规定填报了项目名称、标段号、补遗书编号（如有）、投标价（包括大写金额和小写金额）；</w:t>
            </w:r>
          </w:p>
          <w:p w14:paraId="0F4AF61A">
            <w:pPr>
              <w:snapToGrid w:val="0"/>
              <w:spacing w:line="240" w:lineRule="atLeas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b．已标价报价清单说明文字与招标文件规定一致，未进行实质性修改和删减；</w:t>
            </w:r>
          </w:p>
          <w:p w14:paraId="49CFEC22">
            <w:pPr>
              <w:snapToGrid w:val="0"/>
              <w:spacing w:line="240" w:lineRule="atLeas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c．投标文件组成齐全完整，</w:t>
            </w:r>
            <w:r>
              <w:rPr>
                <w:rFonts w:hint="eastAsia"/>
                <w:color w:val="000000" w:themeColor="text1"/>
                <w:szCs w:val="21"/>
                <w:highlight w:val="none"/>
                <w14:textFill>
                  <w14:solidFill>
                    <w14:schemeClr w14:val="tx1"/>
                  </w14:solidFill>
                </w14:textFill>
              </w:rPr>
              <w:t>提供的相关资料符合招标文件规定，</w:t>
            </w:r>
            <w:r>
              <w:rPr>
                <w:color w:val="000000" w:themeColor="text1"/>
                <w:szCs w:val="21"/>
                <w:highlight w:val="none"/>
                <w14:textFill>
                  <w14:solidFill>
                    <w14:schemeClr w14:val="tx1"/>
                  </w14:solidFill>
                </w14:textFill>
              </w:rPr>
              <w:t>内容均按规定填写</w:t>
            </w:r>
            <w:r>
              <w:rPr>
                <w:rFonts w:hint="eastAsia"/>
                <w:color w:val="000000" w:themeColor="text1"/>
                <w:szCs w:val="18"/>
                <w:highlight w:val="none"/>
                <w14:textFill>
                  <w14:solidFill>
                    <w14:schemeClr w14:val="tx1"/>
                  </w14:solidFill>
                </w14:textFill>
              </w:rPr>
              <w:t>（包括相应备注、附表所要求的内容）</w:t>
            </w:r>
            <w:r>
              <w:rPr>
                <w:color w:val="000000" w:themeColor="text1"/>
                <w:szCs w:val="21"/>
                <w:highlight w:val="none"/>
                <w14:textFill>
                  <w14:solidFill>
                    <w14:schemeClr w14:val="tx1"/>
                  </w14:solidFill>
                </w14:textFill>
              </w:rPr>
              <w:t>。</w:t>
            </w:r>
          </w:p>
          <w:p w14:paraId="48A2A007">
            <w:pPr>
              <w:snapToGrid w:val="0"/>
              <w:spacing w:line="240" w:lineRule="atLeas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（2）投标文件上法定代表人或其委托代理人的签字</w:t>
            </w:r>
            <w:r>
              <w:rPr>
                <w:rFonts w:hint="eastAsia"/>
                <w:color w:val="000000" w:themeColor="text1"/>
                <w:szCs w:val="21"/>
                <w:highlight w:val="none"/>
                <w14:textFill>
                  <w14:solidFill>
                    <w14:schemeClr w14:val="tx1"/>
                  </w14:solidFill>
                </w14:textFill>
              </w:rPr>
              <w:t>或盖章</w:t>
            </w:r>
            <w:r>
              <w:rPr>
                <w:color w:val="000000" w:themeColor="text1"/>
                <w:szCs w:val="21"/>
                <w:highlight w:val="none"/>
                <w14:textFill>
                  <w14:solidFill>
                    <w14:schemeClr w14:val="tx1"/>
                  </w14:solidFill>
                </w14:textFill>
              </w:rPr>
              <w:t>、投标人的单位章盖章齐全，符合招标文件规定。</w:t>
            </w:r>
          </w:p>
          <w:p w14:paraId="21E217EB">
            <w:pPr>
              <w:spacing w:line="276" w:lineRule="auto"/>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（3）投标报价</w:t>
            </w:r>
            <w:r>
              <w:rPr>
                <w:rFonts w:hint="eastAsia"/>
                <w:color w:val="000000" w:themeColor="text1"/>
                <w:szCs w:val="21"/>
                <w:highlight w:val="none"/>
                <w14:textFill>
                  <w14:solidFill>
                    <w14:schemeClr w14:val="tx1"/>
                  </w14:solidFill>
                </w14:textFill>
              </w:rPr>
              <w:t>未超过</w:t>
            </w:r>
            <w:r>
              <w:rPr>
                <w:color w:val="000000" w:themeColor="text1"/>
                <w:szCs w:val="21"/>
                <w:highlight w:val="none"/>
                <w14:textFill>
                  <w14:solidFill>
                    <w14:schemeClr w14:val="tx1"/>
                  </w14:solidFill>
                </w14:textFill>
              </w:rPr>
              <w:t>最高投标限价</w:t>
            </w:r>
            <w:r>
              <w:rPr>
                <w:rFonts w:hint="eastAsia"/>
                <w:color w:val="000000" w:themeColor="text1"/>
                <w:szCs w:val="21"/>
                <w:highlight w:val="none"/>
                <w14:textFill>
                  <w14:solidFill>
                    <w14:schemeClr w14:val="tx1"/>
                  </w14:solidFill>
                </w14:textFill>
              </w:rPr>
              <w:t>。</w:t>
            </w:r>
          </w:p>
          <w:p w14:paraId="79BC5102">
            <w:pPr>
              <w:spacing w:line="276" w:lineRule="auto"/>
              <w:rPr>
                <w:rFonts w:hint="eastAsia"/>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4</w:t>
            </w:r>
            <w:r>
              <w:rPr>
                <w:color w:val="000000" w:themeColor="text1"/>
                <w:szCs w:val="21"/>
                <w:highlight w:val="none"/>
                <w14:textFill>
                  <w14:solidFill>
                    <w14:schemeClr w14:val="tx1"/>
                  </w14:solidFill>
                </w14:textFill>
              </w:rPr>
              <w:t>）投标报价大写金额能够确定具体数值</w:t>
            </w:r>
            <w:r>
              <w:rPr>
                <w:rFonts w:hint="eastAsia"/>
                <w:color w:val="000000" w:themeColor="text1"/>
                <w:szCs w:val="21"/>
                <w:highlight w:val="none"/>
                <w14:textFill>
                  <w14:solidFill>
                    <w14:schemeClr w14:val="tx1"/>
                  </w14:solidFill>
                </w14:textFill>
              </w:rPr>
              <w:t>。</w:t>
            </w:r>
          </w:p>
          <w:p w14:paraId="487CB43C">
            <w:pPr>
              <w:spacing w:line="276" w:lineRule="auto"/>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5</w:t>
            </w:r>
            <w:r>
              <w:rPr>
                <w:color w:val="000000" w:themeColor="text1"/>
                <w:szCs w:val="21"/>
                <w:highlight w:val="none"/>
                <w14:textFill>
                  <w14:solidFill>
                    <w14:schemeClr w14:val="tx1"/>
                  </w14:solidFill>
                </w14:textFill>
              </w:rPr>
              <w:t>）同一投标人未提交两个以上不同的投标报价。</w:t>
            </w:r>
          </w:p>
          <w:p w14:paraId="731B3B09">
            <w:pPr>
              <w:autoSpaceDE w:val="0"/>
              <w:autoSpaceDN w:val="0"/>
              <w:adjustRightInd w:val="0"/>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6</w:t>
            </w:r>
            <w:r>
              <w:rPr>
                <w:rFonts w:ascii="Times New Roman" w:hAnsi="Times New Roman"/>
                <w:color w:val="000000" w:themeColor="text1"/>
                <w:szCs w:val="21"/>
                <w:highlight w:val="none"/>
                <w14:textFill>
                  <w14:solidFill>
                    <w14:schemeClr w14:val="tx1"/>
                  </w14:solidFill>
                </w14:textFill>
              </w:rPr>
              <w:t>）投标文件正、副本份数符合招标文件第二章“投标人须知”第3.7.4项规定</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Times New Roman"/>
                <w:color w:val="000000" w:themeColor="text1"/>
                <w:szCs w:val="21"/>
                <w:highlight w:val="none"/>
                <w14:textFill>
                  <w14:solidFill>
                    <w14:schemeClr w14:val="tx1"/>
                  </w14:solidFill>
                </w14:textFill>
              </w:rPr>
              <w:t>。</w:t>
            </w:r>
          </w:p>
          <w:p w14:paraId="76B4AEEB">
            <w:pPr>
              <w:autoSpaceDE w:val="0"/>
              <w:autoSpaceDN w:val="0"/>
              <w:adjustRightInd w:val="0"/>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7</w:t>
            </w:r>
            <w:r>
              <w:rPr>
                <w:rFonts w:ascii="Times New Roman" w:hAnsi="Times New Roman"/>
                <w:color w:val="000000" w:themeColor="text1"/>
                <w:szCs w:val="21"/>
                <w:highlight w:val="none"/>
                <w14:textFill>
                  <w14:solidFill>
                    <w14:schemeClr w14:val="tx1"/>
                  </w14:solidFill>
                </w14:textFill>
              </w:rPr>
              <w:t>）投标文件封套、投标函标明的标段号、单位名称及内容一致</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Times New Roman"/>
                <w:color w:val="000000" w:themeColor="text1"/>
                <w:szCs w:val="21"/>
                <w:highlight w:val="none"/>
                <w14:textFill>
                  <w14:solidFill>
                    <w14:schemeClr w14:val="tx1"/>
                  </w14:solidFill>
                </w14:textFill>
              </w:rPr>
              <w:t>。</w:t>
            </w:r>
          </w:p>
          <w:p w14:paraId="0CA767E2">
            <w:pPr>
              <w:autoSpaceDE w:val="0"/>
              <w:autoSpaceDN w:val="0"/>
              <w:adjustRightInd w:val="0"/>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8</w:t>
            </w:r>
            <w:r>
              <w:rPr>
                <w:rFonts w:ascii="Times New Roman" w:hAnsi="Times New Roman"/>
                <w:color w:val="000000" w:themeColor="text1"/>
                <w:szCs w:val="21"/>
                <w:highlight w:val="none"/>
                <w14:textFill>
                  <w14:solidFill>
                    <w14:schemeClr w14:val="tx1"/>
                  </w14:solidFill>
                </w14:textFill>
              </w:rPr>
              <w:t>）不同投标人的投标文件未相互混装</w:t>
            </w:r>
            <w:r>
              <w:rPr>
                <w:rFonts w:hint="eastAsia" w:ascii="Times New Roman" w:hAnsi="Times New Roman"/>
                <w:color w:val="000000" w:themeColor="text1"/>
                <w:szCs w:val="21"/>
                <w:highlight w:val="none"/>
                <w14:textFill>
                  <w14:solidFill>
                    <w14:schemeClr w14:val="tx1"/>
                  </w14:solidFill>
                </w14:textFill>
              </w:rPr>
              <w:t>（若采用纸质文件评标）</w:t>
            </w:r>
            <w:r>
              <w:rPr>
                <w:rFonts w:ascii="Times New Roman" w:hAnsi="Times New Roman"/>
                <w:color w:val="000000" w:themeColor="text1"/>
                <w:szCs w:val="21"/>
                <w:highlight w:val="none"/>
                <w14:textFill>
                  <w14:solidFill>
                    <w14:schemeClr w14:val="tx1"/>
                  </w14:solidFill>
                </w14:textFill>
              </w:rPr>
              <w:t>。</w:t>
            </w:r>
          </w:p>
          <w:p w14:paraId="0D48FBFB">
            <w:pPr>
              <w:spacing w:line="276" w:lineRule="auto"/>
              <w:rPr>
                <w:b/>
                <w:color w:val="000000"/>
                <w:szCs w:val="21"/>
              </w:rPr>
            </w:pPr>
          </w:p>
        </w:tc>
      </w:tr>
      <w:tr w14:paraId="75F88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0AD4D1F5">
            <w:pPr>
              <w:jc w:val="center"/>
              <w:rPr>
                <w:color w:val="000000"/>
                <w:szCs w:val="21"/>
              </w:rPr>
            </w:pPr>
            <w:r>
              <w:rPr>
                <w:color w:val="000000"/>
                <w:szCs w:val="21"/>
              </w:rPr>
              <w:t>2.1.2</w:t>
            </w:r>
          </w:p>
        </w:tc>
        <w:tc>
          <w:tcPr>
            <w:tcW w:w="1134" w:type="dxa"/>
            <w:gridSpan w:val="2"/>
            <w:vAlign w:val="center"/>
          </w:tcPr>
          <w:p w14:paraId="218748DF">
            <w:pPr>
              <w:jc w:val="center"/>
              <w:rPr>
                <w:color w:val="000000"/>
                <w:szCs w:val="21"/>
              </w:rPr>
            </w:pPr>
            <w:r>
              <w:rPr>
                <w:color w:val="000000"/>
                <w:szCs w:val="21"/>
              </w:rPr>
              <w:t>资格评审标准</w:t>
            </w:r>
          </w:p>
        </w:tc>
        <w:tc>
          <w:tcPr>
            <w:tcW w:w="7371" w:type="dxa"/>
            <w:gridSpan w:val="3"/>
            <w:vAlign w:val="center"/>
          </w:tcPr>
          <w:p w14:paraId="5E035493">
            <w:pPr>
              <w:rPr>
                <w:color w:val="000000"/>
              </w:rPr>
            </w:pPr>
            <w:r>
              <w:rPr>
                <w:color w:val="000000"/>
              </w:rPr>
              <w:t>（1）投标人具备有效的营业执照、监理资质证书和基本账户开户许可证</w:t>
            </w:r>
            <w:r>
              <w:rPr>
                <w:rFonts w:hint="eastAsia"/>
                <w:color w:val="000000"/>
              </w:rPr>
              <w:t>（或基本账户存款信息单）</w:t>
            </w:r>
            <w:r>
              <w:rPr>
                <w:color w:val="000000"/>
              </w:rPr>
              <w:t>。</w:t>
            </w:r>
          </w:p>
          <w:p w14:paraId="40D062C5">
            <w:pPr>
              <w:rPr>
                <w:color w:val="000000"/>
              </w:rPr>
            </w:pPr>
            <w:r>
              <w:rPr>
                <w:color w:val="000000"/>
              </w:rPr>
              <w:t>（2）投标人的资质等级符合第二章“投标人须知前附表”附录规定。</w:t>
            </w:r>
          </w:p>
          <w:p w14:paraId="1569F177">
            <w:pPr>
              <w:rPr>
                <w:color w:val="000000"/>
              </w:rPr>
            </w:pPr>
            <w:r>
              <w:rPr>
                <w:color w:val="000000"/>
              </w:rPr>
              <w:t>（3）投标人的类似项目业绩符合第二章“投标人须知前附表”附录规定。</w:t>
            </w:r>
          </w:p>
          <w:p w14:paraId="1C612A2A">
            <w:pPr>
              <w:rPr>
                <w:color w:val="000000"/>
              </w:rPr>
            </w:pPr>
            <w:r>
              <w:rPr>
                <w:color w:val="000000"/>
              </w:rPr>
              <w:t>（4）投标人的信誉符合第二章“投标人须知前附表”附录规定。</w:t>
            </w:r>
          </w:p>
          <w:p w14:paraId="569B4F1E">
            <w:pPr>
              <w:rPr>
                <w:color w:val="000000"/>
              </w:rPr>
            </w:pPr>
            <w:r>
              <w:rPr>
                <w:color w:val="000000"/>
              </w:rPr>
              <w:t>（5）投标人的</w:t>
            </w:r>
            <w:r>
              <w:rPr>
                <w:rFonts w:hint="eastAsia"/>
                <w:color w:val="000000"/>
              </w:rPr>
              <w:t>驻地</w:t>
            </w:r>
            <w:r>
              <w:rPr>
                <w:color w:val="000000"/>
              </w:rPr>
              <w:t>监理工程师资格、在岗情况符合第二章“投标人须知前附表”附录规定。</w:t>
            </w:r>
          </w:p>
          <w:p w14:paraId="1F372524">
            <w:pPr>
              <w:rPr>
                <w:color w:val="000000"/>
              </w:rPr>
            </w:pPr>
            <w:r>
              <w:rPr>
                <w:color w:val="000000"/>
              </w:rPr>
              <w:t>（6）投标人不存在第二章“投标人须知”第1.4.3项及第1.4.4项规定的任何一种情形。</w:t>
            </w:r>
          </w:p>
          <w:p w14:paraId="2198977E">
            <w:pPr>
              <w:rPr>
                <w:rFonts w:hint="eastAsia"/>
                <w:color w:val="000000"/>
              </w:rPr>
            </w:pPr>
            <w:r>
              <w:rPr>
                <w:color w:val="000000"/>
              </w:rPr>
              <w:t>（7）投标人符合第二章“投标人须知”第1.4.5项规定。</w:t>
            </w:r>
          </w:p>
        </w:tc>
      </w:tr>
      <w:tr w14:paraId="39F9D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675" w:type="dxa"/>
            <w:vAlign w:val="center"/>
          </w:tcPr>
          <w:p w14:paraId="5A415307">
            <w:pPr>
              <w:jc w:val="center"/>
              <w:rPr>
                <w:color w:val="000000"/>
                <w:szCs w:val="21"/>
              </w:rPr>
            </w:pPr>
            <w:r>
              <w:rPr>
                <w:color w:val="000000"/>
                <w:szCs w:val="21"/>
              </w:rPr>
              <w:t>2.2.1</w:t>
            </w:r>
          </w:p>
        </w:tc>
        <w:tc>
          <w:tcPr>
            <w:tcW w:w="1134" w:type="dxa"/>
            <w:gridSpan w:val="2"/>
            <w:vAlign w:val="center"/>
          </w:tcPr>
          <w:p w14:paraId="171B212A">
            <w:pPr>
              <w:jc w:val="center"/>
              <w:rPr>
                <w:color w:val="000000"/>
                <w:szCs w:val="21"/>
              </w:rPr>
            </w:pPr>
            <w:r>
              <w:rPr>
                <w:color w:val="000000"/>
                <w:szCs w:val="21"/>
              </w:rPr>
              <w:t>分值构成</w:t>
            </w:r>
          </w:p>
          <w:p w14:paraId="06D41823">
            <w:pPr>
              <w:jc w:val="center"/>
              <w:rPr>
                <w:color w:val="000000"/>
                <w:szCs w:val="21"/>
              </w:rPr>
            </w:pPr>
            <w:r>
              <w:rPr>
                <w:rFonts w:hint="eastAsia"/>
                <w:color w:val="000000"/>
                <w:szCs w:val="21"/>
              </w:rPr>
              <w:t>（</w:t>
            </w:r>
            <w:r>
              <w:rPr>
                <w:color w:val="000000"/>
                <w:szCs w:val="21"/>
              </w:rPr>
              <w:t>总分100分）</w:t>
            </w:r>
          </w:p>
        </w:tc>
        <w:tc>
          <w:tcPr>
            <w:tcW w:w="7371" w:type="dxa"/>
            <w:gridSpan w:val="3"/>
            <w:vAlign w:val="center"/>
          </w:tcPr>
          <w:p w14:paraId="11AE9BF5">
            <w:pPr>
              <w:jc w:val="left"/>
              <w:rPr>
                <w:color w:val="000000"/>
                <w:szCs w:val="21"/>
              </w:rPr>
            </w:pPr>
            <w:r>
              <w:rPr>
                <w:b/>
                <w:color w:val="000000"/>
                <w:szCs w:val="21"/>
              </w:rPr>
              <w:t>第一个信封（商务及技术文件）评分分值构成：</w:t>
            </w:r>
          </w:p>
          <w:p w14:paraId="72A1C40B">
            <w:pPr>
              <w:jc w:val="left"/>
              <w:rPr>
                <w:color w:val="000000"/>
                <w:szCs w:val="21"/>
              </w:rPr>
            </w:pPr>
            <w:r>
              <w:rPr>
                <w:color w:val="000000"/>
                <w:szCs w:val="21"/>
              </w:rPr>
              <w:t>技术建议书：</w:t>
            </w:r>
            <w:r>
              <w:rPr>
                <w:rFonts w:hint="eastAsia"/>
                <w:color w:val="000000"/>
                <w:szCs w:val="21"/>
                <w:u w:val="single"/>
              </w:rPr>
              <w:t>3</w:t>
            </w:r>
            <w:r>
              <w:rPr>
                <w:color w:val="000000"/>
                <w:szCs w:val="21"/>
                <w:u w:val="single"/>
              </w:rPr>
              <w:t>5</w:t>
            </w:r>
            <w:r>
              <w:rPr>
                <w:color w:val="000000"/>
                <w:szCs w:val="21"/>
              </w:rPr>
              <w:t>分</w:t>
            </w:r>
          </w:p>
          <w:p w14:paraId="42EAC31F">
            <w:pPr>
              <w:jc w:val="left"/>
              <w:rPr>
                <w:color w:val="000000"/>
                <w:szCs w:val="21"/>
              </w:rPr>
            </w:pPr>
            <w:r>
              <w:rPr>
                <w:color w:val="000000"/>
                <w:szCs w:val="21"/>
              </w:rPr>
              <w:t>主要人员：</w:t>
            </w:r>
            <w:r>
              <w:rPr>
                <w:rFonts w:hint="eastAsia"/>
                <w:color w:val="000000"/>
                <w:szCs w:val="21"/>
                <w:u w:val="single"/>
              </w:rPr>
              <w:t>2</w:t>
            </w:r>
            <w:r>
              <w:rPr>
                <w:color w:val="000000"/>
                <w:szCs w:val="21"/>
                <w:u w:val="single"/>
              </w:rPr>
              <w:t>5</w:t>
            </w:r>
            <w:r>
              <w:rPr>
                <w:color w:val="000000"/>
                <w:szCs w:val="21"/>
              </w:rPr>
              <w:t>分</w:t>
            </w:r>
          </w:p>
          <w:p w14:paraId="434C501B">
            <w:pPr>
              <w:jc w:val="left"/>
              <w:rPr>
                <w:color w:val="000000"/>
                <w:szCs w:val="21"/>
              </w:rPr>
            </w:pPr>
            <w:r>
              <w:rPr>
                <w:rFonts w:hint="eastAsia"/>
                <w:color w:val="000000"/>
                <w:szCs w:val="21"/>
              </w:rPr>
              <w:t>监理</w:t>
            </w:r>
            <w:r>
              <w:rPr>
                <w:color w:val="000000"/>
                <w:szCs w:val="21"/>
              </w:rPr>
              <w:t>业绩：</w:t>
            </w:r>
            <w:r>
              <w:rPr>
                <w:color w:val="000000"/>
                <w:szCs w:val="21"/>
                <w:u w:val="single"/>
              </w:rPr>
              <w:t>25</w:t>
            </w:r>
            <w:r>
              <w:rPr>
                <w:color w:val="000000"/>
                <w:szCs w:val="21"/>
              </w:rPr>
              <w:t>分</w:t>
            </w:r>
          </w:p>
          <w:p w14:paraId="61A9FF76">
            <w:pPr>
              <w:jc w:val="left"/>
              <w:rPr>
                <w:rFonts w:hint="eastAsia"/>
                <w:color w:val="000000"/>
                <w:szCs w:val="21"/>
              </w:rPr>
            </w:pPr>
            <w:r>
              <w:rPr>
                <w:rFonts w:hint="eastAsia"/>
                <w:color w:val="000000"/>
                <w:szCs w:val="21"/>
              </w:rPr>
              <w:t>履约信誉：</w:t>
            </w:r>
            <w:r>
              <w:rPr>
                <w:color w:val="000000"/>
                <w:szCs w:val="21"/>
                <w:u w:val="single"/>
              </w:rPr>
              <w:t>5</w:t>
            </w:r>
            <w:r>
              <w:rPr>
                <w:color w:val="000000"/>
                <w:szCs w:val="21"/>
              </w:rPr>
              <w:t>分</w:t>
            </w:r>
          </w:p>
          <w:p w14:paraId="51BA4209">
            <w:pPr>
              <w:pStyle w:val="5"/>
              <w:rPr>
                <w:rFonts w:hint="eastAsia" w:ascii="Times New Roman" w:hAnsi="Times New Roman"/>
                <w:color w:val="000000"/>
                <w:sz w:val="21"/>
                <w:szCs w:val="21"/>
              </w:rPr>
            </w:pPr>
            <w:r>
              <w:rPr>
                <w:rFonts w:hint="eastAsia" w:ascii="Times New Roman" w:hAnsi="Times New Roman"/>
                <w:color w:val="000000"/>
                <w:sz w:val="21"/>
                <w:szCs w:val="21"/>
              </w:rPr>
              <w:t>投标人的商务和技术得分为上述四项得分之和。</w:t>
            </w:r>
          </w:p>
          <w:p w14:paraId="718429E2">
            <w:pPr>
              <w:jc w:val="left"/>
              <w:rPr>
                <w:color w:val="000000"/>
                <w:szCs w:val="21"/>
              </w:rPr>
            </w:pPr>
            <w:r>
              <w:rPr>
                <w:b/>
                <w:color w:val="000000"/>
                <w:szCs w:val="21"/>
              </w:rPr>
              <w:t>第二个信封（报价文件）评分分值构成：</w:t>
            </w:r>
          </w:p>
          <w:p w14:paraId="7647C267">
            <w:pPr>
              <w:jc w:val="left"/>
              <w:rPr>
                <w:color w:val="000000"/>
                <w:szCs w:val="21"/>
              </w:rPr>
            </w:pPr>
            <w:r>
              <w:rPr>
                <w:color w:val="000000"/>
                <w:szCs w:val="21"/>
              </w:rPr>
              <w:t>评标价：</w:t>
            </w:r>
            <w:r>
              <w:rPr>
                <w:color w:val="000000"/>
                <w:szCs w:val="21"/>
                <w:u w:val="single"/>
              </w:rPr>
              <w:t>10</w:t>
            </w:r>
            <w:r>
              <w:rPr>
                <w:color w:val="000000"/>
                <w:szCs w:val="21"/>
              </w:rPr>
              <w:t>分</w:t>
            </w:r>
          </w:p>
        </w:tc>
      </w:tr>
      <w:tr w14:paraId="1F150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675" w:type="dxa"/>
            <w:vAlign w:val="center"/>
          </w:tcPr>
          <w:p w14:paraId="41456460">
            <w:pPr>
              <w:jc w:val="center"/>
              <w:rPr>
                <w:color w:val="000000"/>
                <w:szCs w:val="21"/>
              </w:rPr>
            </w:pPr>
            <w:r>
              <w:rPr>
                <w:color w:val="000000"/>
                <w:szCs w:val="21"/>
              </w:rPr>
              <w:t>2.2.2</w:t>
            </w:r>
          </w:p>
        </w:tc>
        <w:tc>
          <w:tcPr>
            <w:tcW w:w="1134" w:type="dxa"/>
            <w:gridSpan w:val="2"/>
            <w:vAlign w:val="center"/>
          </w:tcPr>
          <w:p w14:paraId="1E288374">
            <w:pPr>
              <w:jc w:val="center"/>
              <w:rPr>
                <w:color w:val="000000"/>
                <w:szCs w:val="21"/>
              </w:rPr>
            </w:pPr>
            <w:r>
              <w:rPr>
                <w:color w:val="000000"/>
                <w:szCs w:val="21"/>
              </w:rPr>
              <w:t>评标基准价计算方法</w:t>
            </w:r>
          </w:p>
        </w:tc>
        <w:tc>
          <w:tcPr>
            <w:tcW w:w="7371" w:type="dxa"/>
            <w:gridSpan w:val="3"/>
            <w:vAlign w:val="center"/>
          </w:tcPr>
          <w:p w14:paraId="1347C50C">
            <w:pPr>
              <w:snapToGrid w:val="0"/>
              <w:rPr>
                <w:color w:val="000000"/>
                <w:szCs w:val="21"/>
              </w:rPr>
            </w:pPr>
            <w:r>
              <w:rPr>
                <w:color w:val="000000"/>
                <w:szCs w:val="21"/>
              </w:rPr>
              <w:t>在开标现场，招标人将当场计算并宣布评标基准价。</w:t>
            </w:r>
          </w:p>
          <w:p w14:paraId="435F10E9">
            <w:pPr>
              <w:snapToGrid w:val="0"/>
              <w:rPr>
                <w:color w:val="000000"/>
                <w:szCs w:val="21"/>
              </w:rPr>
            </w:pPr>
            <w:r>
              <w:rPr>
                <w:color w:val="000000"/>
                <w:szCs w:val="21"/>
              </w:rPr>
              <w:t>（1）评标价的确定：</w:t>
            </w:r>
          </w:p>
          <w:p w14:paraId="31189349">
            <w:pPr>
              <w:snapToGrid w:val="0"/>
              <w:rPr>
                <w:rFonts w:hint="eastAsia"/>
                <w:color w:val="000000" w:themeColor="text1"/>
                <w:szCs w:val="21"/>
                <w:highlight w:val="none"/>
                <w14:textFill>
                  <w14:solidFill>
                    <w14:schemeClr w14:val="tx1"/>
                  </w14:solidFill>
                </w14:textFill>
              </w:rPr>
            </w:pPr>
            <w:r>
              <w:rPr>
                <w:szCs w:val="21"/>
              </w:rPr>
              <w:t>评标</w:t>
            </w:r>
            <w:r>
              <w:rPr>
                <w:color w:val="000000" w:themeColor="text1"/>
                <w:szCs w:val="21"/>
                <w:highlight w:val="none"/>
                <w14:textFill>
                  <w14:solidFill>
                    <w14:schemeClr w14:val="tx1"/>
                  </w14:solidFill>
                </w14:textFill>
              </w:rPr>
              <w:t>价D</w:t>
            </w:r>
            <w:r>
              <w:rPr>
                <w:color w:val="000000" w:themeColor="text1"/>
                <w:szCs w:val="21"/>
                <w:highlight w:val="none"/>
                <w:vertAlign w:val="subscript"/>
                <w14:textFill>
                  <w14:solidFill>
                    <w14:schemeClr w14:val="tx1"/>
                  </w14:solidFill>
                </w14:textFill>
              </w:rPr>
              <w:t>i</w:t>
            </w:r>
            <w:r>
              <w:rPr>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投标函文字报价-暂估价-暂列金额</w:t>
            </w:r>
          </w:p>
          <w:p w14:paraId="16D72CCA">
            <w:pPr>
              <w:snapToGrid w:val="0"/>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（2）评标价基准价的计算</w:t>
            </w:r>
          </w:p>
          <w:p w14:paraId="57DE0FFB">
            <w:pPr>
              <w:snapToGrid w:val="0"/>
              <w:rPr>
                <w:rFonts w:hint="eastAsia"/>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评标基准价计算方法参照陕西省交通运输厅《陕西省公路工程建设项目招投标管理办法》陕交发〔2022〕50号执行。</w:t>
            </w:r>
          </w:p>
          <w:p w14:paraId="51E2D7CC">
            <w:pPr>
              <w:snapToGrid w:val="0"/>
              <w:rPr>
                <w:rFonts w:hint="eastAsia" w:ascii="宋体" w:hAnsi="宋体" w:cs="宋体"/>
                <w:color w:val="000000" w:themeColor="text1"/>
                <w:szCs w:val="21"/>
                <w:highlight w:val="none"/>
                <w14:textFill>
                  <w14:solidFill>
                    <w14:schemeClr w14:val="tx1"/>
                  </w14:solidFill>
                </w14:textFill>
              </w:rPr>
            </w:pPr>
            <w:r>
              <w:rPr>
                <w:rFonts w:cs="宋体" w:asciiTheme="minorEastAsia" w:hAnsiTheme="minorEastAsia" w:eastAsiaTheme="minorEastAsia"/>
                <w:color w:val="000000" w:themeColor="text1"/>
                <w:highlight w:val="none"/>
                <w14:textFill>
                  <w14:solidFill>
                    <w14:schemeClr w14:val="tx1"/>
                  </w14:solidFill>
                </w14:textFill>
              </w:rPr>
              <w:drawing>
                <wp:anchor distT="0" distB="0" distL="114300" distR="114300" simplePos="0" relativeHeight="251659264" behindDoc="0" locked="0" layoutInCell="1" allowOverlap="1">
                  <wp:simplePos x="0" y="0"/>
                  <wp:positionH relativeFrom="page">
                    <wp:posOffset>214630</wp:posOffset>
                  </wp:positionH>
                  <wp:positionV relativeFrom="page">
                    <wp:posOffset>1271270</wp:posOffset>
                  </wp:positionV>
                  <wp:extent cx="1770380" cy="369570"/>
                  <wp:effectExtent l="19050" t="0" r="0" b="0"/>
                  <wp:wrapTopAndBottom/>
                  <wp:docPr id="38" name="对象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对象 1"/>
                          <pic:cNvPicPr>
                            <a:picLocks noChangeAspect="1" noChangeArrowheads="1"/>
                          </pic:cNvPicPr>
                        </pic:nvPicPr>
                        <pic:blipFill>
                          <a:blip r:embed="rId4" cstate="print"/>
                          <a:srcRect/>
                          <a:stretch>
                            <a:fillRect/>
                          </a:stretch>
                        </pic:blipFill>
                        <pic:spPr>
                          <a:xfrm>
                            <a:off x="0" y="0"/>
                            <a:ext cx="1770380" cy="369570"/>
                          </a:xfrm>
                          <a:prstGeom prst="rect">
                            <a:avLst/>
                          </a:prstGeom>
                          <a:noFill/>
                        </pic:spPr>
                      </pic:pic>
                    </a:graphicData>
                  </a:graphic>
                </wp:anchor>
              </w:drawing>
            </w:r>
            <w:r>
              <w:rPr>
                <w:rFonts w:hint="eastAsia" w:ascii="宋体" w:hAnsi="宋体" w:cs="宋体"/>
                <w:color w:val="000000" w:themeColor="text1"/>
                <w:szCs w:val="21"/>
                <w:highlight w:val="none"/>
                <w14:textFill>
                  <w14:solidFill>
                    <w14:schemeClr w14:val="tx1"/>
                  </w14:solidFill>
                </w14:textFill>
              </w:rPr>
              <w:t>评标价去掉</w:t>
            </w:r>
            <w:r>
              <w:rPr>
                <w:color w:val="000000" w:themeColor="text1"/>
                <w:szCs w:val="21"/>
                <w:highlight w:val="none"/>
                <w14:textFill>
                  <w14:solidFill>
                    <w14:schemeClr w14:val="tx1"/>
                  </w14:solidFill>
                </w14:textFill>
              </w:rPr>
              <w:t>n1</w:t>
            </w:r>
            <w:r>
              <w:rPr>
                <w:rFonts w:hint="eastAsia" w:ascii="宋体" w:hAnsi="宋体" w:cs="宋体"/>
                <w:color w:val="000000" w:themeColor="text1"/>
                <w:szCs w:val="21"/>
                <w:highlight w:val="none"/>
                <w14:textFill>
                  <w14:solidFill>
                    <w14:schemeClr w14:val="tx1"/>
                  </w14:solidFill>
                </w14:textFill>
              </w:rPr>
              <w:t>个最高评标价和</w:t>
            </w:r>
            <w:r>
              <w:rPr>
                <w:color w:val="000000" w:themeColor="text1"/>
                <w:szCs w:val="21"/>
                <w:highlight w:val="none"/>
                <w14:textFill>
                  <w14:solidFill>
                    <w14:schemeClr w14:val="tx1"/>
                  </w14:solidFill>
                </w14:textFill>
              </w:rPr>
              <w:t>n2</w:t>
            </w:r>
            <w:r>
              <w:rPr>
                <w:rFonts w:hint="eastAsia" w:ascii="宋体" w:hAnsi="宋体" w:cs="宋体"/>
                <w:color w:val="000000" w:themeColor="text1"/>
                <w:szCs w:val="21"/>
                <w:highlight w:val="none"/>
                <w14:textFill>
                  <w14:solidFill>
                    <w14:schemeClr w14:val="tx1"/>
                  </w14:solidFill>
                </w14:textFill>
              </w:rPr>
              <w:t>个最低评标价后平均值作为评标基准价P。</w:t>
            </w:r>
          </w:p>
          <w:p w14:paraId="330125C1">
            <w:pPr>
              <w:jc w:val="left"/>
              <w:rPr>
                <w:color w:val="000000"/>
                <w:szCs w:val="21"/>
              </w:rPr>
            </w:pPr>
            <w:r>
              <w:rPr>
                <w:color w:val="000000" w:themeColor="text1"/>
                <w:szCs w:val="21"/>
                <w:highlight w:val="none"/>
                <w14:textFill>
                  <w14:solidFill>
                    <w14:schemeClr w14:val="tx1"/>
                  </w14:solidFill>
                </w14:textFill>
              </w:rPr>
              <w:t>式中：Di—投标人的有效评标价，指除投标人须知</w:t>
            </w:r>
            <w:r>
              <w:rPr>
                <w:color w:val="000000"/>
                <w:szCs w:val="21"/>
              </w:rPr>
              <w:t>前附表5.2.4项不参与评标基准价计算的情形之外，剩余所有投标人的评标价。</w:t>
            </w:r>
          </w:p>
          <w:p w14:paraId="4E123AB3">
            <w:pPr>
              <w:jc w:val="left"/>
              <w:rPr>
                <w:color w:val="000000"/>
                <w:szCs w:val="21"/>
              </w:rPr>
            </w:pPr>
            <w:r>
              <w:rPr>
                <w:color w:val="000000"/>
                <w:szCs w:val="21"/>
              </w:rPr>
              <w:t>N—有效评标价的个数；</w:t>
            </w:r>
          </w:p>
          <w:p w14:paraId="2C62B9D9">
            <w:pPr>
              <w:jc w:val="left"/>
              <w:rPr>
                <w:color w:val="000000"/>
                <w:szCs w:val="21"/>
              </w:rPr>
            </w:pPr>
            <w:r>
              <w:rPr>
                <w:color w:val="000000"/>
                <w:szCs w:val="21"/>
              </w:rPr>
              <w:t>n1、n2的取值：</w:t>
            </w:r>
          </w:p>
          <w:p w14:paraId="628084FC">
            <w:pPr>
              <w:jc w:val="left"/>
              <w:rPr>
                <w:color w:val="000000"/>
                <w:szCs w:val="21"/>
              </w:rPr>
            </w:pPr>
            <w:r>
              <w:rPr>
                <w:color w:val="000000"/>
                <w:szCs w:val="21"/>
              </w:rPr>
              <w:t>当N&lt;6时，n1、n2均取0；</w:t>
            </w:r>
          </w:p>
          <w:p w14:paraId="777A9880">
            <w:pPr>
              <w:jc w:val="left"/>
              <w:rPr>
                <w:color w:val="000000"/>
                <w:szCs w:val="21"/>
              </w:rPr>
            </w:pPr>
            <w:r>
              <w:rPr>
                <w:color w:val="000000"/>
                <w:szCs w:val="21"/>
              </w:rPr>
              <w:t>当N≥6时，n1在取值区间1～M-1中随机抽取（最小为1），n2在取值区间1～M+1中随机抽取，M=N/4，M去尾取整。</w:t>
            </w:r>
          </w:p>
          <w:p w14:paraId="3539685A">
            <w:pPr>
              <w:jc w:val="left"/>
              <w:rPr>
                <w:color w:val="000000"/>
                <w:szCs w:val="21"/>
              </w:rPr>
            </w:pPr>
            <w:r>
              <w:rPr>
                <w:color w:val="000000"/>
                <w:szCs w:val="21"/>
              </w:rPr>
              <w:t>（3）评标基准价的确定</w:t>
            </w:r>
          </w:p>
          <w:p w14:paraId="7665164A">
            <w:pPr>
              <w:rPr>
                <w:color w:val="000000"/>
                <w:szCs w:val="21"/>
              </w:rPr>
            </w:pPr>
            <w:r>
              <w:rPr>
                <w:color w:val="000000"/>
                <w:szCs w:val="21"/>
              </w:rPr>
              <w:t>在评标过程中，评标委员会应对招标人计算的评标基准价进行复核，存在计算错误的应予以修正并在评标报告中作出说明。除此之外，评标基准价在整个评标期间保持不变，不随任何因素发生变化。</w:t>
            </w:r>
          </w:p>
        </w:tc>
      </w:tr>
      <w:tr w14:paraId="396BA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675" w:type="dxa"/>
            <w:vAlign w:val="center"/>
          </w:tcPr>
          <w:p w14:paraId="05BA2B79">
            <w:pPr>
              <w:jc w:val="center"/>
              <w:rPr>
                <w:color w:val="000000"/>
                <w:szCs w:val="21"/>
              </w:rPr>
            </w:pPr>
            <w:r>
              <w:rPr>
                <w:color w:val="000000"/>
                <w:szCs w:val="21"/>
              </w:rPr>
              <w:t>2.2.3</w:t>
            </w:r>
          </w:p>
        </w:tc>
        <w:tc>
          <w:tcPr>
            <w:tcW w:w="1134" w:type="dxa"/>
            <w:gridSpan w:val="2"/>
            <w:vAlign w:val="center"/>
          </w:tcPr>
          <w:p w14:paraId="522265F9">
            <w:pPr>
              <w:jc w:val="center"/>
              <w:rPr>
                <w:color w:val="000000"/>
                <w:szCs w:val="21"/>
              </w:rPr>
            </w:pPr>
            <w:r>
              <w:rPr>
                <w:color w:val="000000"/>
                <w:szCs w:val="21"/>
              </w:rPr>
              <w:t>投标报价的偏差率</w:t>
            </w:r>
          </w:p>
          <w:p w14:paraId="0CAED0F6">
            <w:pPr>
              <w:jc w:val="center"/>
              <w:rPr>
                <w:color w:val="000000"/>
                <w:szCs w:val="21"/>
              </w:rPr>
            </w:pPr>
            <w:r>
              <w:rPr>
                <w:color w:val="000000"/>
                <w:szCs w:val="21"/>
              </w:rPr>
              <w:t>计算公式</w:t>
            </w:r>
          </w:p>
        </w:tc>
        <w:tc>
          <w:tcPr>
            <w:tcW w:w="7371" w:type="dxa"/>
            <w:gridSpan w:val="3"/>
            <w:vAlign w:val="center"/>
          </w:tcPr>
          <w:p w14:paraId="29931621">
            <w:pPr>
              <w:jc w:val="left"/>
              <w:rPr>
                <w:color w:val="000000"/>
                <w:szCs w:val="21"/>
              </w:rPr>
            </w:pPr>
            <w:r>
              <w:rPr>
                <w:color w:val="000000"/>
                <w:szCs w:val="21"/>
              </w:rPr>
              <w:t>偏差率=100%</w:t>
            </w:r>
            <w:r>
              <w:t>×</w:t>
            </w:r>
            <w:r>
              <w:rPr>
                <w:color w:val="000000"/>
                <w:szCs w:val="21"/>
              </w:rPr>
              <w:t>（投标人评标价</w:t>
            </w:r>
            <w:r>
              <w:rPr>
                <w:szCs w:val="21"/>
              </w:rPr>
              <w:t>－</w:t>
            </w:r>
            <w:r>
              <w:rPr>
                <w:color w:val="000000"/>
                <w:szCs w:val="21"/>
              </w:rPr>
              <w:t>评标基准价）/评标基准价；</w:t>
            </w:r>
          </w:p>
          <w:p w14:paraId="0AC4C2A3">
            <w:pPr>
              <w:jc w:val="left"/>
              <w:rPr>
                <w:color w:val="000000"/>
                <w:szCs w:val="21"/>
              </w:rPr>
            </w:pPr>
            <w:r>
              <w:rPr>
                <w:color w:val="000000"/>
                <w:szCs w:val="21"/>
              </w:rPr>
              <w:t>偏差率保留两位小数。</w:t>
            </w:r>
          </w:p>
        </w:tc>
      </w:tr>
      <w:tr w14:paraId="20609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4503" w:type="dxa"/>
            <w:gridSpan w:val="5"/>
            <w:vAlign w:val="center"/>
          </w:tcPr>
          <w:p w14:paraId="721CD2D2">
            <w:pPr>
              <w:jc w:val="center"/>
              <w:rPr>
                <w:b/>
                <w:color w:val="000000"/>
                <w:szCs w:val="21"/>
              </w:rPr>
            </w:pPr>
            <w:bookmarkStart w:id="2" w:name="_Hlk532292370"/>
            <w:r>
              <w:rPr>
                <w:b/>
                <w:color w:val="000000"/>
                <w:szCs w:val="21"/>
              </w:rPr>
              <w:t>评分因素与权重分值</w:t>
            </w:r>
          </w:p>
        </w:tc>
        <w:tc>
          <w:tcPr>
            <w:tcW w:w="4677" w:type="dxa"/>
            <w:vMerge w:val="restart"/>
            <w:vAlign w:val="center"/>
          </w:tcPr>
          <w:p w14:paraId="56D0B946">
            <w:pPr>
              <w:jc w:val="center"/>
              <w:rPr>
                <w:b/>
                <w:color w:val="000000"/>
                <w:szCs w:val="21"/>
              </w:rPr>
            </w:pPr>
            <w:r>
              <w:rPr>
                <w:b/>
                <w:color w:val="000000"/>
                <w:szCs w:val="21"/>
              </w:rPr>
              <w:t>评分标准</w:t>
            </w:r>
          </w:p>
        </w:tc>
      </w:tr>
      <w:tr w14:paraId="14BA1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35816741">
            <w:pPr>
              <w:jc w:val="center"/>
              <w:rPr>
                <w:b/>
                <w:color w:val="000000"/>
                <w:szCs w:val="21"/>
              </w:rPr>
            </w:pPr>
            <w:bookmarkStart w:id="3" w:name="_Hlk528497069"/>
            <w:r>
              <w:rPr>
                <w:b/>
                <w:color w:val="000000"/>
                <w:szCs w:val="21"/>
              </w:rPr>
              <w:t>条款号</w:t>
            </w:r>
          </w:p>
        </w:tc>
        <w:tc>
          <w:tcPr>
            <w:tcW w:w="2694" w:type="dxa"/>
            <w:gridSpan w:val="3"/>
            <w:vAlign w:val="center"/>
          </w:tcPr>
          <w:p w14:paraId="4062EF1F">
            <w:pPr>
              <w:jc w:val="center"/>
              <w:rPr>
                <w:b/>
                <w:color w:val="000000"/>
                <w:szCs w:val="21"/>
              </w:rPr>
            </w:pPr>
            <w:r>
              <w:rPr>
                <w:b/>
                <w:bCs/>
                <w:color w:val="000000"/>
                <w:szCs w:val="21"/>
              </w:rPr>
              <w:t>评分因素</w:t>
            </w:r>
          </w:p>
        </w:tc>
        <w:tc>
          <w:tcPr>
            <w:tcW w:w="1134" w:type="dxa"/>
            <w:vAlign w:val="center"/>
          </w:tcPr>
          <w:p w14:paraId="2E7C4F2E">
            <w:pPr>
              <w:jc w:val="center"/>
              <w:rPr>
                <w:b/>
                <w:color w:val="000000"/>
                <w:szCs w:val="21"/>
              </w:rPr>
            </w:pPr>
            <w:r>
              <w:rPr>
                <w:b/>
                <w:color w:val="000000"/>
                <w:szCs w:val="21"/>
              </w:rPr>
              <w:t>分值</w:t>
            </w:r>
          </w:p>
        </w:tc>
        <w:tc>
          <w:tcPr>
            <w:tcW w:w="4677" w:type="dxa"/>
            <w:vMerge w:val="continue"/>
            <w:vAlign w:val="center"/>
          </w:tcPr>
          <w:p w14:paraId="71F66628">
            <w:pPr>
              <w:jc w:val="left"/>
              <w:rPr>
                <w:color w:val="000000"/>
                <w:szCs w:val="21"/>
              </w:rPr>
            </w:pPr>
          </w:p>
        </w:tc>
      </w:tr>
      <w:bookmarkEnd w:id="2"/>
      <w:bookmarkEnd w:id="3"/>
      <w:tr w14:paraId="5C574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418CEE5A">
            <w:pPr>
              <w:jc w:val="center"/>
              <w:rPr>
                <w:b/>
                <w:color w:val="000000"/>
                <w:szCs w:val="21"/>
              </w:rPr>
            </w:pPr>
            <w:r>
              <w:t>2.2.4（1）</w:t>
            </w:r>
          </w:p>
        </w:tc>
        <w:tc>
          <w:tcPr>
            <w:tcW w:w="2694" w:type="dxa"/>
            <w:gridSpan w:val="3"/>
            <w:vAlign w:val="center"/>
          </w:tcPr>
          <w:p w14:paraId="56A0BC46">
            <w:pPr>
              <w:jc w:val="center"/>
              <w:rPr>
                <w:b/>
                <w:bCs/>
                <w:color w:val="000000"/>
                <w:szCs w:val="21"/>
              </w:rPr>
            </w:pPr>
            <w:r>
              <w:t>技术建议书</w:t>
            </w:r>
          </w:p>
        </w:tc>
        <w:tc>
          <w:tcPr>
            <w:tcW w:w="1134" w:type="dxa"/>
            <w:vAlign w:val="center"/>
          </w:tcPr>
          <w:p w14:paraId="6F63B181">
            <w:pPr>
              <w:jc w:val="center"/>
              <w:rPr>
                <w:b/>
                <w:color w:val="000000"/>
                <w:szCs w:val="21"/>
              </w:rPr>
            </w:pPr>
            <w:r>
              <w:t>35分</w:t>
            </w:r>
          </w:p>
        </w:tc>
        <w:tc>
          <w:tcPr>
            <w:tcW w:w="4677" w:type="dxa"/>
            <w:vAlign w:val="center"/>
          </w:tcPr>
          <w:p w14:paraId="5E9D872A">
            <w:pPr>
              <w:jc w:val="left"/>
              <w:rPr>
                <w:color w:val="000000"/>
                <w:szCs w:val="21"/>
              </w:rPr>
            </w:pPr>
            <w:r>
              <w:t>见详细评分标准一</w:t>
            </w:r>
          </w:p>
        </w:tc>
      </w:tr>
      <w:tr w14:paraId="21A13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14:paraId="1B2FDA7A">
            <w:pPr>
              <w:jc w:val="center"/>
              <w:rPr>
                <w:b/>
                <w:color w:val="000000"/>
                <w:szCs w:val="21"/>
              </w:rPr>
            </w:pPr>
            <w:r>
              <w:t>2.2.4（2）</w:t>
            </w:r>
          </w:p>
        </w:tc>
        <w:tc>
          <w:tcPr>
            <w:tcW w:w="2694" w:type="dxa"/>
            <w:gridSpan w:val="3"/>
            <w:vAlign w:val="center"/>
          </w:tcPr>
          <w:p w14:paraId="15DD3524">
            <w:pPr>
              <w:jc w:val="center"/>
              <w:rPr>
                <w:b/>
                <w:bCs/>
                <w:color w:val="000000"/>
                <w:szCs w:val="21"/>
              </w:rPr>
            </w:pPr>
            <w:r>
              <w:t>主要人员</w:t>
            </w:r>
          </w:p>
        </w:tc>
        <w:tc>
          <w:tcPr>
            <w:tcW w:w="1134" w:type="dxa"/>
            <w:vAlign w:val="center"/>
          </w:tcPr>
          <w:p w14:paraId="624C701B">
            <w:pPr>
              <w:jc w:val="center"/>
              <w:rPr>
                <w:b/>
                <w:color w:val="000000"/>
                <w:szCs w:val="21"/>
              </w:rPr>
            </w:pPr>
            <w:r>
              <w:rPr>
                <w:rFonts w:eastAsia="等线"/>
              </w:rPr>
              <w:t>25分</w:t>
            </w:r>
          </w:p>
        </w:tc>
        <w:tc>
          <w:tcPr>
            <w:tcW w:w="4677" w:type="dxa"/>
            <w:vAlign w:val="center"/>
          </w:tcPr>
          <w:p w14:paraId="2975A755">
            <w:pPr>
              <w:jc w:val="left"/>
              <w:rPr>
                <w:color w:val="000000"/>
                <w:szCs w:val="21"/>
              </w:rPr>
            </w:pPr>
            <w:r>
              <w:t>见详细评分标准二</w:t>
            </w:r>
          </w:p>
        </w:tc>
      </w:tr>
      <w:tr w14:paraId="3011F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40663868">
            <w:pPr>
              <w:jc w:val="center"/>
              <w:rPr>
                <w:b/>
                <w:color w:val="000000"/>
                <w:szCs w:val="21"/>
              </w:rPr>
            </w:pPr>
            <w:r>
              <w:t>2.2.4（3）</w:t>
            </w:r>
          </w:p>
        </w:tc>
        <w:tc>
          <w:tcPr>
            <w:tcW w:w="2694" w:type="dxa"/>
            <w:gridSpan w:val="3"/>
            <w:vAlign w:val="center"/>
          </w:tcPr>
          <w:p w14:paraId="2C8EC7B2">
            <w:pPr>
              <w:jc w:val="center"/>
              <w:rPr>
                <w:b/>
                <w:bCs/>
                <w:color w:val="000000"/>
                <w:szCs w:val="21"/>
              </w:rPr>
            </w:pPr>
            <w:r>
              <w:t>评标价</w:t>
            </w:r>
          </w:p>
        </w:tc>
        <w:tc>
          <w:tcPr>
            <w:tcW w:w="1134" w:type="dxa"/>
            <w:vAlign w:val="center"/>
          </w:tcPr>
          <w:p w14:paraId="7C8FD04D">
            <w:pPr>
              <w:jc w:val="center"/>
              <w:rPr>
                <w:b/>
                <w:color w:val="000000"/>
                <w:szCs w:val="21"/>
              </w:rPr>
            </w:pPr>
            <w:r>
              <w:t>10分</w:t>
            </w:r>
          </w:p>
        </w:tc>
        <w:tc>
          <w:tcPr>
            <w:tcW w:w="4677" w:type="dxa"/>
            <w:vAlign w:val="center"/>
          </w:tcPr>
          <w:p w14:paraId="3437159B">
            <w:pPr>
              <w:pStyle w:val="15"/>
              <w:ind w:firstLine="105"/>
            </w:pPr>
            <w:r>
              <w:t>评标价得分计算公式示例：</w:t>
            </w:r>
          </w:p>
          <w:p w14:paraId="4044AA0F">
            <w:pPr>
              <w:pStyle w:val="15"/>
              <w:ind w:firstLine="105"/>
            </w:pPr>
            <w:r>
              <w:t>（1）如果投标人的评标价&gt;评标基准价，则评标价得分=10</w:t>
            </w:r>
            <w:r>
              <w:rPr>
                <w:szCs w:val="21"/>
              </w:rPr>
              <w:t>－</w:t>
            </w:r>
            <w:r>
              <w:t>偏差率×100×E</w:t>
            </w:r>
            <w:r>
              <w:rPr>
                <w:vertAlign w:val="subscript"/>
              </w:rPr>
              <w:t>1</w:t>
            </w:r>
            <w:r>
              <w:t>；</w:t>
            </w:r>
          </w:p>
          <w:p w14:paraId="253CD79E">
            <w:pPr>
              <w:pStyle w:val="15"/>
              <w:ind w:firstLine="105"/>
            </w:pPr>
            <w:r>
              <w:t>（2）如果投标人的评标价≤评标基准价，则评标价得分=10+偏差率×100×E</w:t>
            </w:r>
            <w:r>
              <w:rPr>
                <w:vertAlign w:val="subscript"/>
              </w:rPr>
              <w:t>2</w:t>
            </w:r>
            <w:r>
              <w:t>。</w:t>
            </w:r>
          </w:p>
          <w:p w14:paraId="2A289DE5">
            <w:pPr>
              <w:pStyle w:val="15"/>
              <w:ind w:firstLine="105"/>
            </w:pPr>
            <w:r>
              <w:t>其中：E</w:t>
            </w:r>
            <w:r>
              <w:rPr>
                <w:vertAlign w:val="subscript"/>
              </w:rPr>
              <w:t>1</w:t>
            </w:r>
            <w:r>
              <w:t>=</w:t>
            </w:r>
            <w:r>
              <w:rPr>
                <w:rFonts w:hint="eastAsia"/>
              </w:rPr>
              <w:t>0.2</w:t>
            </w:r>
            <w:r>
              <w:t>，是评标价每高于评标基准价一个百分点的扣分值；E</w:t>
            </w:r>
            <w:r>
              <w:rPr>
                <w:vertAlign w:val="subscript"/>
              </w:rPr>
              <w:t>2</w:t>
            </w:r>
            <w:r>
              <w:t>=</w:t>
            </w:r>
            <w:r>
              <w:rPr>
                <w:rFonts w:hint="eastAsia"/>
              </w:rPr>
              <w:t>0.1</w:t>
            </w:r>
            <w:r>
              <w:t>，是评标价每低于评标基准价一个百分点的扣分值；</w:t>
            </w:r>
          </w:p>
          <w:p w14:paraId="733E1755">
            <w:pPr>
              <w:jc w:val="left"/>
              <w:rPr>
                <w:color w:val="000000"/>
                <w:szCs w:val="21"/>
              </w:rPr>
            </w:pPr>
            <w:r>
              <w:t>评标价得分分值保留小数点后两位，小数点后第三位“四舍五入”；评标价得分最低为0分。</w:t>
            </w:r>
          </w:p>
        </w:tc>
      </w:tr>
      <w:tr w14:paraId="4B7D9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restart"/>
            <w:vAlign w:val="center"/>
          </w:tcPr>
          <w:p w14:paraId="3CB4E31B">
            <w:pPr>
              <w:jc w:val="center"/>
              <w:rPr>
                <w:b/>
                <w:color w:val="000000"/>
                <w:szCs w:val="21"/>
              </w:rPr>
            </w:pPr>
            <w:r>
              <w:t>2.2.4（4）</w:t>
            </w:r>
          </w:p>
        </w:tc>
        <w:tc>
          <w:tcPr>
            <w:tcW w:w="825" w:type="dxa"/>
            <w:vMerge w:val="restart"/>
            <w:vAlign w:val="center"/>
          </w:tcPr>
          <w:p w14:paraId="027961F9">
            <w:pPr>
              <w:jc w:val="center"/>
              <w:rPr>
                <w:b/>
                <w:bCs/>
                <w:color w:val="000000"/>
                <w:szCs w:val="21"/>
              </w:rPr>
            </w:pPr>
            <w:r>
              <w:t>其他因素</w:t>
            </w:r>
          </w:p>
        </w:tc>
        <w:tc>
          <w:tcPr>
            <w:tcW w:w="1869" w:type="dxa"/>
            <w:gridSpan w:val="2"/>
            <w:vAlign w:val="center"/>
          </w:tcPr>
          <w:p w14:paraId="05B034CC">
            <w:pPr>
              <w:jc w:val="center"/>
              <w:rPr>
                <w:b/>
                <w:bCs/>
                <w:color w:val="000000"/>
                <w:szCs w:val="21"/>
              </w:rPr>
            </w:pPr>
            <w:r>
              <w:t>业  绩</w:t>
            </w:r>
          </w:p>
        </w:tc>
        <w:tc>
          <w:tcPr>
            <w:tcW w:w="1134" w:type="dxa"/>
            <w:vAlign w:val="center"/>
          </w:tcPr>
          <w:p w14:paraId="53E63773">
            <w:pPr>
              <w:jc w:val="center"/>
              <w:rPr>
                <w:b/>
                <w:color w:val="000000"/>
                <w:szCs w:val="21"/>
              </w:rPr>
            </w:pPr>
            <w:r>
              <w:rPr>
                <w:rFonts w:eastAsia="等线"/>
              </w:rPr>
              <w:t>25分</w:t>
            </w:r>
          </w:p>
        </w:tc>
        <w:tc>
          <w:tcPr>
            <w:tcW w:w="4677" w:type="dxa"/>
            <w:vAlign w:val="center"/>
          </w:tcPr>
          <w:p w14:paraId="41EA103C">
            <w:pPr>
              <w:jc w:val="left"/>
            </w:pPr>
            <w:r>
              <w:t>见详细评分标准三</w:t>
            </w:r>
          </w:p>
        </w:tc>
      </w:tr>
      <w:tr w14:paraId="3B6C2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Merge w:val="continue"/>
            <w:vAlign w:val="center"/>
          </w:tcPr>
          <w:p w14:paraId="2B984C4A">
            <w:pPr>
              <w:jc w:val="center"/>
              <w:rPr>
                <w:b/>
                <w:color w:val="000000"/>
                <w:szCs w:val="21"/>
              </w:rPr>
            </w:pPr>
          </w:p>
        </w:tc>
        <w:tc>
          <w:tcPr>
            <w:tcW w:w="825" w:type="dxa"/>
            <w:vMerge w:val="continue"/>
            <w:vAlign w:val="center"/>
          </w:tcPr>
          <w:p w14:paraId="0CB37BF1">
            <w:pPr>
              <w:jc w:val="center"/>
              <w:rPr>
                <w:b/>
                <w:bCs/>
                <w:color w:val="000000"/>
                <w:szCs w:val="21"/>
              </w:rPr>
            </w:pPr>
          </w:p>
        </w:tc>
        <w:tc>
          <w:tcPr>
            <w:tcW w:w="1869" w:type="dxa"/>
            <w:gridSpan w:val="2"/>
            <w:vAlign w:val="center"/>
          </w:tcPr>
          <w:p w14:paraId="5CA683D9">
            <w:pPr>
              <w:jc w:val="center"/>
              <w:rPr>
                <w:b/>
                <w:bCs/>
                <w:color w:val="000000"/>
                <w:szCs w:val="21"/>
              </w:rPr>
            </w:pPr>
            <w:r>
              <w:t>履约信誉</w:t>
            </w:r>
          </w:p>
        </w:tc>
        <w:tc>
          <w:tcPr>
            <w:tcW w:w="1134" w:type="dxa"/>
            <w:vAlign w:val="center"/>
          </w:tcPr>
          <w:p w14:paraId="7B1CF79E">
            <w:pPr>
              <w:jc w:val="center"/>
              <w:rPr>
                <w:b/>
                <w:color w:val="000000"/>
                <w:szCs w:val="21"/>
              </w:rPr>
            </w:pPr>
            <w:r>
              <w:t>5分</w:t>
            </w:r>
          </w:p>
        </w:tc>
        <w:tc>
          <w:tcPr>
            <w:tcW w:w="4677" w:type="dxa"/>
            <w:vAlign w:val="center"/>
          </w:tcPr>
          <w:p w14:paraId="215455CC">
            <w:pPr>
              <w:jc w:val="left"/>
            </w:pPr>
            <w:r>
              <w:t>见详细评分标准四</w:t>
            </w:r>
          </w:p>
        </w:tc>
      </w:tr>
      <w:tr w14:paraId="00C5B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675" w:type="dxa"/>
            <w:vAlign w:val="center"/>
          </w:tcPr>
          <w:p w14:paraId="40308D3B">
            <w:pPr>
              <w:jc w:val="center"/>
              <w:rPr>
                <w:rFonts w:hint="eastAsia"/>
                <w:color w:val="000000"/>
                <w:szCs w:val="21"/>
              </w:rPr>
            </w:pPr>
            <w:r>
              <w:rPr>
                <w:rFonts w:hint="eastAsia"/>
                <w:color w:val="000000"/>
                <w:szCs w:val="21"/>
              </w:rPr>
              <w:t>3.6.1</w:t>
            </w:r>
          </w:p>
        </w:tc>
        <w:tc>
          <w:tcPr>
            <w:tcW w:w="1134" w:type="dxa"/>
            <w:gridSpan w:val="2"/>
            <w:vAlign w:val="center"/>
          </w:tcPr>
          <w:p w14:paraId="21A6F3B7">
            <w:pPr>
              <w:jc w:val="center"/>
              <w:rPr>
                <w:rFonts w:hint="eastAsia" w:ascii="宋体" w:hAnsi="宋体" w:cs="宋体"/>
                <w:b/>
                <w:bCs/>
                <w:szCs w:val="21"/>
              </w:rPr>
            </w:pPr>
            <w:r>
              <w:rPr>
                <w:rFonts w:hint="eastAsia" w:ascii="宋体" w:hAnsi="宋体" w:cs="宋体"/>
                <w:b/>
                <w:bCs/>
              </w:rPr>
              <w:t>投标文件相关信息核查</w:t>
            </w:r>
          </w:p>
        </w:tc>
        <w:tc>
          <w:tcPr>
            <w:tcW w:w="7371" w:type="dxa"/>
            <w:gridSpan w:val="3"/>
            <w:vAlign w:val="center"/>
          </w:tcPr>
          <w:p w14:paraId="1CE080CF">
            <w:pPr>
              <w:rPr>
                <w:rFonts w:hint="eastAsia" w:ascii="宋体" w:hAnsi="宋体" w:cs="宋体"/>
              </w:rPr>
            </w:pPr>
            <w:r>
              <w:rPr>
                <w:rFonts w:hint="eastAsia" w:ascii="宋体" w:hAnsi="宋体" w:cs="宋体"/>
              </w:rPr>
              <w:t>1.评标委员会对投标人的资质、业绩、主要人员资历和目前在岗情况、信用等级等信息，在交通运输主管部门“公路建设市场信用信息管理系统”中进行核实，若投标文件载明的信息与系统中发布的信息不符，使得投标人的资格条件不符合招标文件规定的，评标委员会将否决其投标。</w:t>
            </w:r>
          </w:p>
          <w:p w14:paraId="6BBA4A0E">
            <w:pPr>
              <w:rPr>
                <w:rFonts w:hint="eastAsia" w:ascii="宋体" w:hAnsi="宋体" w:cs="宋体"/>
              </w:rPr>
            </w:pPr>
            <w:r>
              <w:rPr>
                <w:rFonts w:hint="eastAsia" w:ascii="宋体" w:hAnsi="宋体" w:cs="宋体"/>
              </w:rPr>
              <w:t>2.评标委员会对投标人信誉情况在“国家企业信用信息公示系统”及“信用中国”网站进行核实，若投标人在国家企业信用信息公开系统中被列入严重违法失信企业名单或在“信用中国”网站中被列入失信被执行人名单，评标委员会将否决其投标。</w:t>
            </w:r>
          </w:p>
          <w:p w14:paraId="64B7F884">
            <w:pPr>
              <w:rPr>
                <w:rFonts w:hint="eastAsia" w:ascii="宋体" w:hAnsi="宋体" w:cs="宋体"/>
                <w:szCs w:val="18"/>
              </w:rPr>
            </w:pPr>
            <w:r>
              <w:rPr>
                <w:rFonts w:hint="eastAsia" w:ascii="宋体" w:hAnsi="宋体" w:cs="宋体"/>
              </w:rPr>
              <w:t>3.评标委员会对投标人及其法定代表人、拟委任的驻地监理工程师近三年内（自2021年1月1日起）行贿犯罪行为情况在“中国裁判文书网”中进行核实。若投标人及其法定代表人、拟委任的驻地监理工程师近三年内在“中国裁判文书网”中有行贿犯罪行为记录，评标委员会将否决其投标。</w:t>
            </w:r>
          </w:p>
        </w:tc>
      </w:tr>
      <w:tr w14:paraId="49B92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5" w:hRule="atLeast"/>
        </w:trPr>
        <w:tc>
          <w:tcPr>
            <w:tcW w:w="675" w:type="dxa"/>
            <w:vAlign w:val="center"/>
          </w:tcPr>
          <w:p w14:paraId="3CDCEDC3">
            <w:pPr>
              <w:jc w:val="center"/>
              <w:rPr>
                <w:color w:val="000000"/>
                <w:szCs w:val="21"/>
              </w:rPr>
            </w:pPr>
            <w:r>
              <w:rPr>
                <w:color w:val="000000"/>
                <w:szCs w:val="21"/>
              </w:rPr>
              <w:t>3.9.2</w:t>
            </w:r>
          </w:p>
        </w:tc>
        <w:tc>
          <w:tcPr>
            <w:tcW w:w="1134" w:type="dxa"/>
            <w:gridSpan w:val="2"/>
            <w:vAlign w:val="center"/>
          </w:tcPr>
          <w:p w14:paraId="029A3054">
            <w:pPr>
              <w:jc w:val="center"/>
              <w:rPr>
                <w:b/>
                <w:bCs/>
                <w:color w:val="000000"/>
                <w:szCs w:val="21"/>
              </w:rPr>
            </w:pPr>
            <w:r>
              <w:rPr>
                <w:b/>
                <w:bCs/>
                <w:color w:val="000000"/>
                <w:szCs w:val="21"/>
              </w:rPr>
              <w:t>评标报告</w:t>
            </w:r>
          </w:p>
        </w:tc>
        <w:tc>
          <w:tcPr>
            <w:tcW w:w="7371" w:type="dxa"/>
            <w:gridSpan w:val="3"/>
            <w:vAlign w:val="center"/>
          </w:tcPr>
          <w:p w14:paraId="703CC753">
            <w:pPr>
              <w:jc w:val="left"/>
              <w:rPr>
                <w:color w:val="000000"/>
                <w:szCs w:val="21"/>
              </w:rPr>
            </w:pPr>
            <w:r>
              <w:rPr>
                <w:color w:val="000000"/>
                <w:szCs w:val="21"/>
              </w:rPr>
              <w:t>评标报告应如实记载下列内容：</w:t>
            </w:r>
          </w:p>
          <w:p w14:paraId="66B7BFED">
            <w:pPr>
              <w:jc w:val="left"/>
              <w:rPr>
                <w:color w:val="000000"/>
                <w:szCs w:val="21"/>
              </w:rPr>
            </w:pPr>
            <w:r>
              <w:rPr>
                <w:color w:val="000000"/>
                <w:szCs w:val="21"/>
              </w:rPr>
              <w:t>（1）招标项目基本情况</w:t>
            </w:r>
          </w:p>
          <w:p w14:paraId="324AD2EC">
            <w:pPr>
              <w:jc w:val="left"/>
              <w:rPr>
                <w:color w:val="000000"/>
                <w:szCs w:val="21"/>
              </w:rPr>
            </w:pPr>
            <w:r>
              <w:rPr>
                <w:color w:val="000000"/>
                <w:szCs w:val="21"/>
              </w:rPr>
              <w:t>（2）评标委员会成员名单</w:t>
            </w:r>
          </w:p>
          <w:p w14:paraId="7B8A69D1">
            <w:pPr>
              <w:jc w:val="left"/>
              <w:rPr>
                <w:color w:val="000000"/>
                <w:szCs w:val="21"/>
              </w:rPr>
            </w:pPr>
            <w:r>
              <w:rPr>
                <w:color w:val="000000"/>
                <w:szCs w:val="21"/>
              </w:rPr>
              <w:t>（3）监督人员名单</w:t>
            </w:r>
          </w:p>
          <w:p w14:paraId="080A7F13">
            <w:pPr>
              <w:jc w:val="left"/>
              <w:rPr>
                <w:color w:val="000000"/>
                <w:szCs w:val="21"/>
              </w:rPr>
            </w:pPr>
            <w:r>
              <w:rPr>
                <w:color w:val="000000"/>
                <w:szCs w:val="21"/>
              </w:rPr>
              <w:t>（4）开标记录</w:t>
            </w:r>
          </w:p>
          <w:p w14:paraId="15B9B108">
            <w:pPr>
              <w:jc w:val="left"/>
              <w:rPr>
                <w:color w:val="000000"/>
                <w:szCs w:val="21"/>
              </w:rPr>
            </w:pPr>
            <w:r>
              <w:rPr>
                <w:color w:val="000000"/>
                <w:szCs w:val="21"/>
              </w:rPr>
              <w:t>（5）符合要求的投标人名单</w:t>
            </w:r>
          </w:p>
          <w:p w14:paraId="0FC92B11">
            <w:pPr>
              <w:jc w:val="left"/>
              <w:rPr>
                <w:color w:val="000000"/>
                <w:szCs w:val="21"/>
              </w:rPr>
            </w:pPr>
            <w:r>
              <w:rPr>
                <w:color w:val="000000"/>
                <w:szCs w:val="21"/>
              </w:rPr>
              <w:t>（6）否决的投标人名单以及否决理由</w:t>
            </w:r>
          </w:p>
          <w:p w14:paraId="3385F6A1">
            <w:pPr>
              <w:jc w:val="left"/>
              <w:rPr>
                <w:color w:val="000000"/>
                <w:szCs w:val="21"/>
              </w:rPr>
            </w:pPr>
            <w:r>
              <w:rPr>
                <w:color w:val="000000"/>
                <w:szCs w:val="21"/>
              </w:rPr>
              <w:t>（7）串通投标情形的评审情况说明</w:t>
            </w:r>
          </w:p>
          <w:p w14:paraId="355354F5">
            <w:pPr>
              <w:jc w:val="left"/>
              <w:rPr>
                <w:color w:val="000000"/>
                <w:szCs w:val="21"/>
              </w:rPr>
            </w:pPr>
            <w:r>
              <w:rPr>
                <w:color w:val="000000"/>
                <w:szCs w:val="21"/>
              </w:rPr>
              <w:t>（8）评分情况</w:t>
            </w:r>
          </w:p>
          <w:p w14:paraId="58EF0602">
            <w:pPr>
              <w:jc w:val="left"/>
              <w:rPr>
                <w:color w:val="000000"/>
                <w:szCs w:val="21"/>
              </w:rPr>
            </w:pPr>
            <w:r>
              <w:rPr>
                <w:color w:val="000000"/>
                <w:szCs w:val="21"/>
              </w:rPr>
              <w:t>（9）经评审的投标人排序</w:t>
            </w:r>
          </w:p>
          <w:p w14:paraId="64C64DBF">
            <w:pPr>
              <w:jc w:val="left"/>
              <w:rPr>
                <w:color w:val="000000"/>
                <w:szCs w:val="21"/>
              </w:rPr>
            </w:pPr>
            <w:r>
              <w:rPr>
                <w:color w:val="000000"/>
                <w:szCs w:val="21"/>
              </w:rPr>
              <w:t>（10）中标候选人名单</w:t>
            </w:r>
          </w:p>
          <w:p w14:paraId="26A17C1E">
            <w:pPr>
              <w:jc w:val="left"/>
              <w:rPr>
                <w:color w:val="000000"/>
                <w:szCs w:val="21"/>
              </w:rPr>
            </w:pPr>
            <w:r>
              <w:rPr>
                <w:color w:val="000000"/>
                <w:szCs w:val="21"/>
              </w:rPr>
              <w:t>（11）澄清、说明事项纪要</w:t>
            </w:r>
          </w:p>
          <w:p w14:paraId="1C235BAC">
            <w:pPr>
              <w:jc w:val="left"/>
              <w:rPr>
                <w:color w:val="000000"/>
                <w:szCs w:val="21"/>
              </w:rPr>
            </w:pPr>
            <w:r>
              <w:rPr>
                <w:color w:val="000000"/>
                <w:szCs w:val="21"/>
              </w:rPr>
              <w:t>（12）需要说明的其他事项</w:t>
            </w:r>
          </w:p>
          <w:p w14:paraId="1380A7FC">
            <w:pPr>
              <w:jc w:val="left"/>
              <w:rPr>
                <w:color w:val="000000"/>
                <w:szCs w:val="21"/>
              </w:rPr>
            </w:pPr>
            <w:r>
              <w:rPr>
                <w:color w:val="000000"/>
                <w:szCs w:val="21"/>
              </w:rPr>
              <w:t>（13）评标附表</w:t>
            </w:r>
          </w:p>
        </w:tc>
      </w:tr>
      <w:tr w14:paraId="62DBC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9180" w:type="dxa"/>
            <w:gridSpan w:val="6"/>
            <w:tcBorders>
              <w:left w:val="single" w:color="auto" w:sz="4" w:space="0"/>
              <w:right w:val="single" w:color="auto" w:sz="4" w:space="0"/>
            </w:tcBorders>
            <w:vAlign w:val="center"/>
          </w:tcPr>
          <w:p w14:paraId="5E46F2C1">
            <w:pPr>
              <w:rPr>
                <w:rFonts w:hint="eastAsia" w:ascii="宋体" w:hAnsi="宋体" w:cs="宋体"/>
              </w:rPr>
            </w:pPr>
            <w:r>
              <w:rPr>
                <w:rFonts w:hint="eastAsia" w:ascii="宋体" w:hAnsi="宋体" w:cs="宋体"/>
                <w:szCs w:val="21"/>
              </w:rPr>
              <w:t>需补充的其他内容</w:t>
            </w:r>
          </w:p>
        </w:tc>
      </w:tr>
    </w:tbl>
    <w:p w14:paraId="7334F74E">
      <w:pPr>
        <w:pStyle w:val="2"/>
        <w:spacing w:before="312" w:beforeLines="100" w:after="156" w:afterLines="50" w:line="240" w:lineRule="auto"/>
      </w:pPr>
      <w:r>
        <w:t>详细评分标准</w:t>
      </w:r>
    </w:p>
    <w:p w14:paraId="52005B81">
      <w:pPr>
        <w:pStyle w:val="3"/>
        <w:adjustRightInd w:val="0"/>
        <w:snapToGrid w:val="0"/>
        <w:spacing w:before="312" w:beforeLines="100" w:after="0" w:line="360" w:lineRule="auto"/>
      </w:pPr>
      <w:r>
        <w:t>一、技术建议书（共35分）</w:t>
      </w:r>
    </w:p>
    <w:tbl>
      <w:tblPr>
        <w:tblStyle w:val="9"/>
        <w:tblW w:w="93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4"/>
        <w:gridCol w:w="755"/>
        <w:gridCol w:w="4315"/>
      </w:tblGrid>
      <w:tr w14:paraId="5D08E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vAlign w:val="center"/>
          </w:tcPr>
          <w:p w14:paraId="72C33A8D">
            <w:pPr>
              <w:jc w:val="center"/>
              <w:rPr>
                <w:rFonts w:hint="eastAsia" w:ascii="宋体" w:hAnsi="宋体" w:cs="宋体"/>
                <w:b/>
                <w:szCs w:val="21"/>
              </w:rPr>
            </w:pPr>
            <w:bookmarkStart w:id="4" w:name="_Hlk518565200"/>
            <w:r>
              <w:rPr>
                <w:rFonts w:hint="eastAsia" w:ascii="宋体" w:hAnsi="宋体" w:cs="宋体"/>
                <w:b/>
                <w:szCs w:val="21"/>
              </w:rPr>
              <w:t>评分项目</w:t>
            </w:r>
          </w:p>
        </w:tc>
        <w:tc>
          <w:tcPr>
            <w:tcW w:w="755" w:type="dxa"/>
            <w:vAlign w:val="center"/>
          </w:tcPr>
          <w:p w14:paraId="46AA397E">
            <w:pPr>
              <w:jc w:val="center"/>
              <w:rPr>
                <w:rFonts w:hint="eastAsia" w:ascii="宋体" w:hAnsi="宋体" w:cs="宋体"/>
                <w:b/>
                <w:szCs w:val="21"/>
              </w:rPr>
            </w:pPr>
            <w:r>
              <w:rPr>
                <w:rFonts w:hint="eastAsia" w:ascii="宋体" w:hAnsi="宋体" w:cs="宋体"/>
                <w:b/>
                <w:szCs w:val="21"/>
              </w:rPr>
              <w:t>分值</w:t>
            </w:r>
          </w:p>
        </w:tc>
        <w:tc>
          <w:tcPr>
            <w:tcW w:w="4315" w:type="dxa"/>
            <w:vAlign w:val="center"/>
          </w:tcPr>
          <w:p w14:paraId="0B6C83CC">
            <w:pPr>
              <w:jc w:val="center"/>
              <w:rPr>
                <w:rFonts w:hint="eastAsia" w:ascii="宋体" w:hAnsi="宋体" w:cs="宋体"/>
                <w:b/>
                <w:szCs w:val="21"/>
              </w:rPr>
            </w:pPr>
            <w:r>
              <w:rPr>
                <w:rFonts w:hint="eastAsia" w:ascii="宋体" w:hAnsi="宋体" w:cs="宋体"/>
                <w:b/>
                <w:szCs w:val="21"/>
              </w:rPr>
              <w:t>评分标准</w:t>
            </w:r>
          </w:p>
        </w:tc>
      </w:tr>
      <w:tr w14:paraId="616C6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vAlign w:val="center"/>
          </w:tcPr>
          <w:p w14:paraId="39A9C527">
            <w:pPr>
              <w:rPr>
                <w:rFonts w:hint="eastAsia" w:ascii="宋体" w:hAnsi="宋体" w:cs="宋体"/>
                <w:szCs w:val="21"/>
              </w:rPr>
            </w:pPr>
            <w:r>
              <w:rPr>
                <w:rFonts w:hint="eastAsia" w:ascii="仿宋" w:hAnsi="仿宋" w:eastAsia="仿宋" w:cs="仿宋"/>
                <w:color w:val="000000"/>
                <w:sz w:val="24"/>
              </w:rPr>
              <w:t>本标段监理服务要求和范围及监理工作安排、主要监理人员岗位职责</w:t>
            </w:r>
          </w:p>
        </w:tc>
        <w:tc>
          <w:tcPr>
            <w:tcW w:w="755" w:type="dxa"/>
            <w:vAlign w:val="center"/>
          </w:tcPr>
          <w:p w14:paraId="40FD4A93">
            <w:pPr>
              <w:jc w:val="center"/>
              <w:rPr>
                <w:rFonts w:hint="eastAsia" w:ascii="宋体" w:hAnsi="宋体" w:cs="宋体"/>
                <w:szCs w:val="21"/>
              </w:rPr>
            </w:pPr>
            <w:r>
              <w:rPr>
                <w:rFonts w:hint="eastAsia" w:ascii="仿宋" w:hAnsi="仿宋" w:eastAsia="仿宋" w:cs="仿宋"/>
                <w:color w:val="000000"/>
                <w:sz w:val="24"/>
              </w:rPr>
              <w:t>5</w:t>
            </w:r>
          </w:p>
        </w:tc>
        <w:tc>
          <w:tcPr>
            <w:tcW w:w="4315" w:type="dxa"/>
            <w:vAlign w:val="center"/>
          </w:tcPr>
          <w:p w14:paraId="5022C856">
            <w:pPr>
              <w:rPr>
                <w:rFonts w:hint="eastAsia" w:ascii="宋体" w:hAnsi="宋体" w:cs="宋体"/>
                <w:szCs w:val="21"/>
              </w:rPr>
            </w:pPr>
            <w:r>
              <w:rPr>
                <w:rFonts w:hint="eastAsia" w:ascii="仿宋" w:hAnsi="仿宋" w:eastAsia="仿宋" w:cs="仿宋"/>
                <w:color w:val="000000"/>
                <w:sz w:val="24"/>
              </w:rPr>
              <w:t>好计4～5分，较好计3～4分，基本满足项目需要计3分。</w:t>
            </w:r>
          </w:p>
        </w:tc>
      </w:tr>
      <w:tr w14:paraId="423A0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vAlign w:val="center"/>
          </w:tcPr>
          <w:p w14:paraId="173ABF1F">
            <w:pPr>
              <w:rPr>
                <w:rFonts w:hint="eastAsia" w:ascii="宋体" w:hAnsi="宋体" w:cs="宋体"/>
                <w:szCs w:val="21"/>
              </w:rPr>
            </w:pPr>
            <w:r>
              <w:rPr>
                <w:rFonts w:hint="eastAsia" w:ascii="仿宋" w:hAnsi="仿宋" w:eastAsia="仿宋" w:cs="仿宋"/>
                <w:color w:val="000000"/>
                <w:sz w:val="24"/>
              </w:rPr>
              <w:t>本标段现场监理机构设置与人员安排</w:t>
            </w:r>
          </w:p>
        </w:tc>
        <w:tc>
          <w:tcPr>
            <w:tcW w:w="755" w:type="dxa"/>
            <w:vAlign w:val="center"/>
          </w:tcPr>
          <w:p w14:paraId="43C2C999">
            <w:pPr>
              <w:jc w:val="center"/>
              <w:rPr>
                <w:rFonts w:hint="eastAsia" w:ascii="宋体" w:hAnsi="宋体" w:cs="宋体"/>
                <w:szCs w:val="21"/>
              </w:rPr>
            </w:pPr>
            <w:r>
              <w:rPr>
                <w:rFonts w:hint="eastAsia" w:ascii="仿宋" w:hAnsi="仿宋" w:eastAsia="仿宋" w:cs="仿宋"/>
                <w:color w:val="000000"/>
                <w:sz w:val="24"/>
              </w:rPr>
              <w:t>5</w:t>
            </w:r>
          </w:p>
        </w:tc>
        <w:tc>
          <w:tcPr>
            <w:tcW w:w="4315" w:type="dxa"/>
            <w:vAlign w:val="center"/>
          </w:tcPr>
          <w:p w14:paraId="22BCDB69">
            <w:pPr>
              <w:rPr>
                <w:rFonts w:hint="eastAsia" w:ascii="宋体" w:hAnsi="宋体" w:cs="宋体"/>
                <w:szCs w:val="21"/>
              </w:rPr>
            </w:pPr>
            <w:r>
              <w:rPr>
                <w:rFonts w:hint="eastAsia" w:ascii="仿宋" w:hAnsi="仿宋" w:eastAsia="仿宋" w:cs="仿宋"/>
                <w:color w:val="000000"/>
                <w:sz w:val="24"/>
              </w:rPr>
              <w:t>好计4～5分，较好计3～4分，基本满足项目需要计3分。</w:t>
            </w:r>
          </w:p>
        </w:tc>
      </w:tr>
      <w:tr w14:paraId="1990C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vAlign w:val="center"/>
          </w:tcPr>
          <w:p w14:paraId="469383CE">
            <w:pPr>
              <w:rPr>
                <w:rFonts w:hint="eastAsia" w:ascii="宋体" w:hAnsi="宋体" w:cs="宋体"/>
                <w:szCs w:val="21"/>
              </w:rPr>
            </w:pPr>
            <w:r>
              <w:rPr>
                <w:rFonts w:hint="eastAsia" w:ascii="仿宋" w:hAnsi="仿宋" w:eastAsia="仿宋" w:cs="仿宋"/>
                <w:color w:val="000000"/>
                <w:sz w:val="24"/>
              </w:rPr>
              <w:t>监理仪器、设备和设施的配备</w:t>
            </w:r>
          </w:p>
        </w:tc>
        <w:tc>
          <w:tcPr>
            <w:tcW w:w="755" w:type="dxa"/>
            <w:vAlign w:val="center"/>
          </w:tcPr>
          <w:p w14:paraId="24344244">
            <w:pPr>
              <w:jc w:val="center"/>
              <w:rPr>
                <w:rFonts w:hint="eastAsia" w:ascii="宋体" w:hAnsi="宋体" w:cs="宋体"/>
                <w:szCs w:val="21"/>
              </w:rPr>
            </w:pPr>
            <w:r>
              <w:rPr>
                <w:rFonts w:hint="eastAsia" w:ascii="仿宋" w:hAnsi="仿宋" w:eastAsia="仿宋" w:cs="仿宋"/>
                <w:color w:val="000000"/>
                <w:sz w:val="24"/>
              </w:rPr>
              <w:t>3</w:t>
            </w:r>
          </w:p>
        </w:tc>
        <w:tc>
          <w:tcPr>
            <w:tcW w:w="4315" w:type="dxa"/>
            <w:vAlign w:val="center"/>
          </w:tcPr>
          <w:p w14:paraId="03DEE8AC">
            <w:pPr>
              <w:rPr>
                <w:rFonts w:hint="eastAsia" w:ascii="宋体" w:hAnsi="宋体" w:cs="宋体"/>
                <w:szCs w:val="21"/>
              </w:rPr>
            </w:pPr>
            <w:r>
              <w:rPr>
                <w:rFonts w:hint="eastAsia" w:ascii="仿宋" w:hAnsi="仿宋" w:eastAsia="仿宋" w:cs="仿宋"/>
                <w:color w:val="000000"/>
                <w:sz w:val="24"/>
              </w:rPr>
              <w:t>好计2.4～3分，较好计1.8～2.4分，基本满足项目需要计1.8分。</w:t>
            </w:r>
          </w:p>
        </w:tc>
      </w:tr>
      <w:tr w14:paraId="670A0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vAlign w:val="center"/>
          </w:tcPr>
          <w:p w14:paraId="62ACDDAF">
            <w:pPr>
              <w:rPr>
                <w:rFonts w:hint="eastAsia" w:ascii="宋体" w:hAnsi="宋体" w:cs="宋体"/>
                <w:szCs w:val="21"/>
              </w:rPr>
            </w:pPr>
            <w:r>
              <w:rPr>
                <w:rFonts w:hint="eastAsia" w:ascii="仿宋" w:hAnsi="仿宋" w:eastAsia="仿宋" w:cs="仿宋"/>
                <w:color w:val="000000"/>
                <w:sz w:val="24"/>
              </w:rPr>
              <w:t>监理工作程序</w:t>
            </w:r>
          </w:p>
        </w:tc>
        <w:tc>
          <w:tcPr>
            <w:tcW w:w="755" w:type="dxa"/>
            <w:vAlign w:val="center"/>
          </w:tcPr>
          <w:p w14:paraId="1CC15EE3">
            <w:pPr>
              <w:jc w:val="center"/>
              <w:rPr>
                <w:rFonts w:hint="eastAsia" w:ascii="宋体" w:hAnsi="宋体" w:cs="宋体"/>
                <w:szCs w:val="21"/>
              </w:rPr>
            </w:pPr>
            <w:r>
              <w:rPr>
                <w:rFonts w:hint="eastAsia" w:ascii="仿宋" w:hAnsi="仿宋" w:eastAsia="仿宋" w:cs="仿宋"/>
                <w:color w:val="000000"/>
                <w:sz w:val="24"/>
              </w:rPr>
              <w:t>5</w:t>
            </w:r>
          </w:p>
        </w:tc>
        <w:tc>
          <w:tcPr>
            <w:tcW w:w="4315" w:type="dxa"/>
            <w:vAlign w:val="center"/>
          </w:tcPr>
          <w:p w14:paraId="4161FBEA">
            <w:pPr>
              <w:rPr>
                <w:rFonts w:hint="eastAsia" w:ascii="宋体" w:hAnsi="宋体" w:cs="宋体"/>
                <w:szCs w:val="21"/>
              </w:rPr>
            </w:pPr>
            <w:r>
              <w:rPr>
                <w:rFonts w:hint="eastAsia" w:ascii="仿宋" w:hAnsi="仿宋" w:eastAsia="仿宋" w:cs="仿宋"/>
                <w:color w:val="000000"/>
                <w:sz w:val="24"/>
              </w:rPr>
              <w:t>好计4～5分，较好计3～4分，基本满足项目需要计3分。</w:t>
            </w:r>
          </w:p>
        </w:tc>
      </w:tr>
      <w:tr w14:paraId="6E89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vAlign w:val="center"/>
          </w:tcPr>
          <w:p w14:paraId="065B305E">
            <w:pPr>
              <w:rPr>
                <w:rFonts w:hint="eastAsia" w:ascii="宋体" w:hAnsi="宋体" w:cs="宋体"/>
                <w:szCs w:val="21"/>
              </w:rPr>
            </w:pPr>
            <w:r>
              <w:rPr>
                <w:rFonts w:hint="eastAsia" w:ascii="仿宋" w:hAnsi="仿宋" w:eastAsia="仿宋" w:cs="仿宋"/>
                <w:color w:val="000000"/>
                <w:sz w:val="24"/>
              </w:rPr>
              <w:t>监理大纲（或监理方案）和措施</w:t>
            </w:r>
          </w:p>
        </w:tc>
        <w:tc>
          <w:tcPr>
            <w:tcW w:w="755" w:type="dxa"/>
            <w:vAlign w:val="center"/>
          </w:tcPr>
          <w:p w14:paraId="735B2A69">
            <w:pPr>
              <w:jc w:val="center"/>
              <w:rPr>
                <w:rFonts w:hint="eastAsia" w:ascii="宋体" w:hAnsi="宋体" w:cs="宋体"/>
                <w:szCs w:val="21"/>
              </w:rPr>
            </w:pPr>
            <w:r>
              <w:rPr>
                <w:rFonts w:hint="eastAsia" w:ascii="仿宋" w:hAnsi="仿宋" w:eastAsia="仿宋" w:cs="仿宋"/>
                <w:color w:val="000000"/>
                <w:sz w:val="24"/>
              </w:rPr>
              <w:t>6</w:t>
            </w:r>
          </w:p>
        </w:tc>
        <w:tc>
          <w:tcPr>
            <w:tcW w:w="4315" w:type="dxa"/>
            <w:vAlign w:val="center"/>
          </w:tcPr>
          <w:p w14:paraId="0B76FB0E">
            <w:pPr>
              <w:rPr>
                <w:rFonts w:hint="eastAsia" w:ascii="宋体" w:hAnsi="宋体" w:cs="宋体"/>
                <w:szCs w:val="21"/>
              </w:rPr>
            </w:pPr>
            <w:r>
              <w:rPr>
                <w:rFonts w:hint="eastAsia" w:ascii="仿宋" w:hAnsi="仿宋" w:eastAsia="仿宋" w:cs="仿宋"/>
                <w:color w:val="000000"/>
                <w:sz w:val="24"/>
              </w:rPr>
              <w:t>合理计4.8～6分，较合理计3.6～4.8分，基本满足项目需要计3.6分。</w:t>
            </w:r>
          </w:p>
        </w:tc>
      </w:tr>
      <w:tr w14:paraId="4866F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vAlign w:val="center"/>
          </w:tcPr>
          <w:p w14:paraId="3D59A26F">
            <w:pPr>
              <w:rPr>
                <w:rFonts w:hint="eastAsia" w:ascii="宋体" w:hAnsi="宋体" w:cs="宋体"/>
                <w:szCs w:val="21"/>
              </w:rPr>
            </w:pPr>
            <w:r>
              <w:rPr>
                <w:rFonts w:hint="eastAsia" w:ascii="仿宋" w:hAnsi="仿宋" w:eastAsia="仿宋" w:cs="仿宋"/>
                <w:color w:val="000000"/>
                <w:sz w:val="24"/>
              </w:rPr>
              <w:t>本工程监理工作的重点与难点分析</w:t>
            </w:r>
          </w:p>
        </w:tc>
        <w:tc>
          <w:tcPr>
            <w:tcW w:w="755" w:type="dxa"/>
            <w:vAlign w:val="center"/>
          </w:tcPr>
          <w:p w14:paraId="32B95C75">
            <w:pPr>
              <w:jc w:val="center"/>
              <w:rPr>
                <w:rFonts w:hint="eastAsia" w:ascii="宋体" w:hAnsi="宋体" w:cs="宋体"/>
                <w:szCs w:val="21"/>
              </w:rPr>
            </w:pPr>
            <w:r>
              <w:rPr>
                <w:rFonts w:hint="eastAsia" w:ascii="仿宋" w:hAnsi="仿宋" w:eastAsia="仿宋" w:cs="仿宋"/>
                <w:color w:val="000000"/>
                <w:sz w:val="24"/>
              </w:rPr>
              <w:t>6</w:t>
            </w:r>
          </w:p>
        </w:tc>
        <w:tc>
          <w:tcPr>
            <w:tcW w:w="4315" w:type="dxa"/>
            <w:vAlign w:val="center"/>
          </w:tcPr>
          <w:p w14:paraId="0C1CD012">
            <w:pPr>
              <w:rPr>
                <w:rFonts w:hint="eastAsia" w:ascii="宋体" w:hAnsi="宋体" w:cs="宋体"/>
                <w:szCs w:val="21"/>
              </w:rPr>
            </w:pPr>
            <w:r>
              <w:rPr>
                <w:rFonts w:hint="eastAsia" w:ascii="仿宋" w:hAnsi="仿宋" w:eastAsia="仿宋" w:cs="仿宋"/>
                <w:color w:val="000000"/>
                <w:sz w:val="24"/>
              </w:rPr>
              <w:t>合理计4.8～6分，较合理计3.6～4.8分，基本满足项目需要计3.6分。</w:t>
            </w:r>
          </w:p>
        </w:tc>
      </w:tr>
      <w:tr w14:paraId="548F9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84" w:type="dxa"/>
            <w:vAlign w:val="center"/>
          </w:tcPr>
          <w:p w14:paraId="30C50B74">
            <w:pPr>
              <w:rPr>
                <w:rFonts w:hint="eastAsia" w:ascii="宋体" w:hAnsi="宋体" w:cs="宋体"/>
                <w:szCs w:val="21"/>
              </w:rPr>
            </w:pPr>
            <w:r>
              <w:rPr>
                <w:rFonts w:hint="eastAsia" w:ascii="仿宋" w:hAnsi="仿宋" w:eastAsia="仿宋" w:cs="仿宋"/>
                <w:color w:val="000000"/>
                <w:sz w:val="24"/>
              </w:rPr>
              <w:t>对本工程的建议</w:t>
            </w:r>
          </w:p>
        </w:tc>
        <w:tc>
          <w:tcPr>
            <w:tcW w:w="755" w:type="dxa"/>
            <w:vAlign w:val="center"/>
          </w:tcPr>
          <w:p w14:paraId="125537FC">
            <w:pPr>
              <w:jc w:val="center"/>
              <w:rPr>
                <w:rFonts w:hint="eastAsia" w:ascii="宋体" w:hAnsi="宋体" w:cs="宋体"/>
                <w:szCs w:val="21"/>
              </w:rPr>
            </w:pPr>
            <w:r>
              <w:rPr>
                <w:rFonts w:hint="eastAsia" w:ascii="仿宋" w:hAnsi="仿宋" w:eastAsia="仿宋" w:cs="仿宋"/>
                <w:color w:val="000000"/>
                <w:sz w:val="24"/>
              </w:rPr>
              <w:t>5</w:t>
            </w:r>
          </w:p>
        </w:tc>
        <w:tc>
          <w:tcPr>
            <w:tcW w:w="4315" w:type="dxa"/>
            <w:vAlign w:val="center"/>
          </w:tcPr>
          <w:p w14:paraId="6A518607">
            <w:pPr>
              <w:rPr>
                <w:rFonts w:hint="eastAsia" w:ascii="宋体" w:hAnsi="宋体" w:cs="宋体"/>
                <w:szCs w:val="21"/>
              </w:rPr>
            </w:pPr>
            <w:r>
              <w:rPr>
                <w:rFonts w:hint="eastAsia" w:ascii="仿宋" w:hAnsi="仿宋" w:eastAsia="仿宋" w:cs="仿宋"/>
                <w:color w:val="000000"/>
                <w:sz w:val="24"/>
              </w:rPr>
              <w:t>好计4～5分，较好计3～4分，基本满足项目需要计3分。</w:t>
            </w:r>
          </w:p>
        </w:tc>
      </w:tr>
      <w:bookmarkEnd w:id="4"/>
    </w:tbl>
    <w:p w14:paraId="24DFF265">
      <w:pPr>
        <w:pStyle w:val="3"/>
        <w:adjustRightInd w:val="0"/>
        <w:snapToGrid w:val="0"/>
        <w:spacing w:before="312" w:beforeLines="100" w:after="0" w:line="360" w:lineRule="auto"/>
        <w:rPr>
          <w:rFonts w:eastAsia="宋体"/>
        </w:rPr>
      </w:pPr>
      <w:r>
        <w:rPr>
          <w:rFonts w:hint="eastAsia"/>
        </w:rPr>
        <w:t>二、</w:t>
      </w:r>
      <w:r>
        <w:t>主要人员</w:t>
      </w:r>
      <w:r>
        <w:rPr>
          <w:rFonts w:eastAsia="等线"/>
        </w:rPr>
        <w:t>（25分</w:t>
      </w:r>
      <w:r>
        <w:t>）</w:t>
      </w:r>
    </w:p>
    <w:tbl>
      <w:tblPr>
        <w:tblStyle w:val="9"/>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716"/>
        <w:gridCol w:w="6652"/>
      </w:tblGrid>
      <w:tr w14:paraId="1E2E7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vAlign w:val="center"/>
          </w:tcPr>
          <w:p w14:paraId="3E62CBDB">
            <w:pPr>
              <w:jc w:val="center"/>
              <w:rPr>
                <w:rFonts w:ascii="仿宋_GB2312" w:hAnsi="仿宋" w:eastAsia="仿宋_GB2312"/>
                <w:b/>
                <w:bCs/>
                <w:sz w:val="24"/>
              </w:rPr>
            </w:pPr>
            <w:r>
              <w:rPr>
                <w:rFonts w:hint="eastAsia" w:ascii="仿宋_GB2312" w:hAnsi="仿宋" w:eastAsia="仿宋_GB2312" w:cs="仿宋"/>
                <w:b/>
                <w:sz w:val="24"/>
              </w:rPr>
              <w:t>评分项目</w:t>
            </w:r>
          </w:p>
        </w:tc>
        <w:tc>
          <w:tcPr>
            <w:tcW w:w="716" w:type="dxa"/>
            <w:vAlign w:val="center"/>
          </w:tcPr>
          <w:p w14:paraId="6F336F1E">
            <w:pPr>
              <w:jc w:val="center"/>
              <w:rPr>
                <w:rFonts w:ascii="仿宋_GB2312" w:hAnsi="仿宋" w:eastAsia="仿宋_GB2312"/>
                <w:b/>
                <w:sz w:val="24"/>
              </w:rPr>
            </w:pPr>
            <w:r>
              <w:rPr>
                <w:rFonts w:hint="eastAsia" w:ascii="仿宋_GB2312" w:hAnsi="仿宋" w:eastAsia="仿宋_GB2312"/>
                <w:b/>
                <w:bCs/>
                <w:sz w:val="24"/>
              </w:rPr>
              <w:t>分值</w:t>
            </w:r>
          </w:p>
        </w:tc>
        <w:tc>
          <w:tcPr>
            <w:tcW w:w="6652" w:type="dxa"/>
            <w:vAlign w:val="center"/>
          </w:tcPr>
          <w:p w14:paraId="233AB495">
            <w:pPr>
              <w:jc w:val="center"/>
              <w:rPr>
                <w:rFonts w:ascii="仿宋_GB2312" w:hAnsi="仿宋" w:eastAsia="仿宋_GB2312"/>
                <w:b/>
                <w:sz w:val="24"/>
              </w:rPr>
            </w:pPr>
            <w:r>
              <w:rPr>
                <w:rFonts w:hint="eastAsia" w:ascii="仿宋_GB2312" w:hAnsi="仿宋" w:eastAsia="仿宋_GB2312"/>
                <w:b/>
                <w:bCs/>
                <w:sz w:val="24"/>
              </w:rPr>
              <w:t>评分标准</w:t>
            </w:r>
          </w:p>
        </w:tc>
      </w:tr>
      <w:tr w14:paraId="2E084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vAlign w:val="center"/>
          </w:tcPr>
          <w:p w14:paraId="772A9C3C">
            <w:pPr>
              <w:jc w:val="center"/>
              <w:rPr>
                <w:rFonts w:hint="eastAsia" w:ascii="宋体" w:hAnsi="宋体" w:cs="宋体"/>
                <w:bCs/>
                <w:szCs w:val="21"/>
              </w:rPr>
            </w:pPr>
            <w:r>
              <w:rPr>
                <w:rFonts w:hint="eastAsia" w:ascii="仿宋" w:hAnsi="仿宋" w:eastAsia="仿宋" w:cs="仿宋"/>
                <w:color w:val="000000"/>
                <w:sz w:val="24"/>
              </w:rPr>
              <w:t>资格审查条件</w:t>
            </w:r>
          </w:p>
        </w:tc>
        <w:tc>
          <w:tcPr>
            <w:tcW w:w="716" w:type="dxa"/>
            <w:vAlign w:val="center"/>
          </w:tcPr>
          <w:p w14:paraId="38B8A01C">
            <w:pPr>
              <w:jc w:val="center"/>
              <w:rPr>
                <w:rFonts w:hint="eastAsia" w:ascii="宋体" w:hAnsi="宋体" w:cs="宋体"/>
                <w:bCs/>
                <w:szCs w:val="21"/>
              </w:rPr>
            </w:pPr>
            <w:r>
              <w:rPr>
                <w:rFonts w:hint="eastAsia" w:ascii="仿宋" w:hAnsi="仿宋" w:eastAsia="仿宋" w:cs="仿宋"/>
                <w:color w:val="000000"/>
                <w:sz w:val="24"/>
              </w:rPr>
              <w:t>15</w:t>
            </w:r>
          </w:p>
        </w:tc>
        <w:tc>
          <w:tcPr>
            <w:tcW w:w="6652" w:type="dxa"/>
            <w:vAlign w:val="center"/>
          </w:tcPr>
          <w:p w14:paraId="1DE324D2">
            <w:pPr>
              <w:rPr>
                <w:rFonts w:hint="eastAsia" w:ascii="宋体" w:hAnsi="宋体" w:cs="宋体"/>
                <w:bCs/>
                <w:szCs w:val="21"/>
              </w:rPr>
            </w:pPr>
            <w:r>
              <w:rPr>
                <w:rFonts w:hint="eastAsia" w:ascii="仿宋" w:hAnsi="仿宋" w:eastAsia="仿宋" w:cs="仿宋"/>
                <w:color w:val="000000"/>
                <w:sz w:val="24"/>
              </w:rPr>
              <w:t>通过资格评审即得15分</w:t>
            </w:r>
          </w:p>
        </w:tc>
      </w:tr>
      <w:tr w14:paraId="3EC6D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vMerge w:val="restart"/>
            <w:vAlign w:val="center"/>
          </w:tcPr>
          <w:p w14:paraId="0F859CBB">
            <w:pPr>
              <w:jc w:val="center"/>
              <w:rPr>
                <w:rFonts w:ascii="仿宋" w:hAnsi="仿宋" w:eastAsia="仿宋" w:cs="仿宋"/>
                <w:color w:val="000000"/>
                <w:sz w:val="24"/>
              </w:rPr>
            </w:pPr>
            <w:r>
              <w:rPr>
                <w:rFonts w:hint="eastAsia" w:ascii="仿宋" w:hAnsi="仿宋" w:eastAsia="仿宋" w:cs="仿宋"/>
                <w:color w:val="000000"/>
                <w:sz w:val="24"/>
              </w:rPr>
              <w:t>驻地监理</w:t>
            </w:r>
          </w:p>
          <w:p w14:paraId="13DA5C32">
            <w:pPr>
              <w:jc w:val="center"/>
              <w:rPr>
                <w:rFonts w:ascii="仿宋" w:hAnsi="仿宋" w:eastAsia="仿宋" w:cs="仿宋"/>
                <w:color w:val="000000"/>
                <w:sz w:val="24"/>
              </w:rPr>
            </w:pPr>
            <w:r>
              <w:rPr>
                <w:rFonts w:hint="eastAsia" w:ascii="仿宋" w:hAnsi="仿宋" w:eastAsia="仿宋" w:cs="仿宋"/>
                <w:color w:val="000000"/>
                <w:sz w:val="24"/>
              </w:rPr>
              <w:t>工程师业绩</w:t>
            </w:r>
          </w:p>
          <w:p w14:paraId="3B0FAEB9">
            <w:pPr>
              <w:jc w:val="center"/>
              <w:rPr>
                <w:rFonts w:hint="eastAsia" w:ascii="宋体" w:hAnsi="宋体" w:cs="宋体"/>
                <w:szCs w:val="21"/>
              </w:rPr>
            </w:pPr>
            <w:r>
              <w:rPr>
                <w:rFonts w:hint="eastAsia" w:ascii="仿宋" w:hAnsi="仿宋" w:eastAsia="仿宋" w:cs="仿宋"/>
                <w:color w:val="000000"/>
                <w:sz w:val="24"/>
              </w:rPr>
              <w:t>加分</w:t>
            </w:r>
          </w:p>
        </w:tc>
        <w:tc>
          <w:tcPr>
            <w:tcW w:w="716" w:type="dxa"/>
            <w:vAlign w:val="center"/>
          </w:tcPr>
          <w:p w14:paraId="63AED0C3">
            <w:pPr>
              <w:jc w:val="center"/>
              <w:rPr>
                <w:rFonts w:hint="eastAsia" w:ascii="宋体" w:hAnsi="宋体" w:cs="宋体"/>
                <w:szCs w:val="21"/>
              </w:rPr>
            </w:pPr>
            <w:r>
              <w:rPr>
                <w:rFonts w:hint="eastAsia" w:ascii="仿宋" w:hAnsi="仿宋" w:eastAsia="仿宋" w:cs="仿宋"/>
                <w:color w:val="000000"/>
                <w:sz w:val="24"/>
              </w:rPr>
              <w:t>5</w:t>
            </w:r>
          </w:p>
        </w:tc>
        <w:tc>
          <w:tcPr>
            <w:tcW w:w="6652" w:type="dxa"/>
            <w:vAlign w:val="center"/>
          </w:tcPr>
          <w:p w14:paraId="448BB5B6">
            <w:pPr>
              <w:rPr>
                <w:rFonts w:hint="eastAsia" w:ascii="宋体" w:hAnsi="宋体" w:cs="宋体"/>
                <w:szCs w:val="21"/>
              </w:rPr>
            </w:pPr>
            <w:r>
              <w:rPr>
                <w:rFonts w:hint="eastAsia" w:ascii="仿宋" w:hAnsi="仿宋" w:eastAsia="仿宋" w:cs="仿宋"/>
                <w:color w:val="000000"/>
                <w:sz w:val="24"/>
              </w:rPr>
              <w:t>满足资格审查条件之外，担任过的新建或改扩建高速公路路面工程施工监理合同段或包含路面工程的新建或改扩建高速公路项目施工监理合同段驻地监理工程师（或总监理工程师）任职业绩每增加1个加2.5分，此项最多加5分；</w:t>
            </w:r>
          </w:p>
        </w:tc>
      </w:tr>
      <w:tr w14:paraId="73D97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vMerge w:val="continue"/>
            <w:vAlign w:val="center"/>
          </w:tcPr>
          <w:p w14:paraId="6E40CDB8">
            <w:pPr>
              <w:jc w:val="center"/>
              <w:rPr>
                <w:rFonts w:hint="eastAsia" w:ascii="宋体" w:hAnsi="宋体" w:cs="宋体"/>
                <w:szCs w:val="21"/>
              </w:rPr>
            </w:pPr>
          </w:p>
        </w:tc>
        <w:tc>
          <w:tcPr>
            <w:tcW w:w="716" w:type="dxa"/>
            <w:vAlign w:val="center"/>
          </w:tcPr>
          <w:p w14:paraId="4720EC80">
            <w:pPr>
              <w:jc w:val="center"/>
              <w:rPr>
                <w:rFonts w:hint="eastAsia" w:ascii="宋体" w:hAnsi="宋体" w:cs="宋体"/>
                <w:szCs w:val="21"/>
              </w:rPr>
            </w:pPr>
            <w:r>
              <w:rPr>
                <w:rFonts w:hint="eastAsia" w:ascii="仿宋" w:hAnsi="仿宋" w:eastAsia="仿宋" w:cs="仿宋"/>
                <w:color w:val="000000"/>
                <w:sz w:val="24"/>
              </w:rPr>
              <w:t>5</w:t>
            </w:r>
          </w:p>
        </w:tc>
        <w:tc>
          <w:tcPr>
            <w:tcW w:w="6652" w:type="dxa"/>
            <w:vAlign w:val="center"/>
          </w:tcPr>
          <w:p w14:paraId="551DD0A0">
            <w:pPr>
              <w:rPr>
                <w:rFonts w:hint="eastAsia" w:ascii="宋体" w:hAnsi="宋体" w:cs="宋体"/>
                <w:szCs w:val="21"/>
              </w:rPr>
            </w:pPr>
            <w:r>
              <w:rPr>
                <w:rFonts w:hint="eastAsia" w:ascii="仿宋" w:hAnsi="仿宋" w:eastAsia="仿宋" w:cs="仿宋"/>
                <w:color w:val="000000"/>
                <w:sz w:val="24"/>
              </w:rPr>
              <w:t>满足资格审查条件之外，担任过的新建或改扩建高速公路路面工程施工监理合同段或包含路面工程的新建或改扩建高速公路项目施工监理合同段驻地监理工程师（或总监理工程师）的路面工程里程累计每20km（双幅）加1分，此项最多加5分，路面工程里程不足20km（双幅）不计分。</w:t>
            </w:r>
          </w:p>
        </w:tc>
      </w:tr>
    </w:tbl>
    <w:p w14:paraId="792CC63F">
      <w:pPr>
        <w:pStyle w:val="3"/>
        <w:adjustRightInd w:val="0"/>
        <w:snapToGrid w:val="0"/>
        <w:spacing w:before="312" w:beforeLines="100" w:after="0" w:line="360" w:lineRule="auto"/>
      </w:pPr>
      <w:r>
        <w:t>三、业 绩（25分）</w:t>
      </w:r>
    </w:p>
    <w:tbl>
      <w:tblPr>
        <w:tblStyle w:val="9"/>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716"/>
        <w:gridCol w:w="6652"/>
      </w:tblGrid>
      <w:tr w14:paraId="4B52B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vAlign w:val="center"/>
          </w:tcPr>
          <w:p w14:paraId="45BE6AA1">
            <w:pPr>
              <w:jc w:val="center"/>
              <w:rPr>
                <w:rFonts w:ascii="仿宋_GB2312" w:hAnsi="仿宋" w:eastAsia="仿宋_GB2312"/>
                <w:b/>
                <w:bCs/>
                <w:sz w:val="24"/>
              </w:rPr>
            </w:pPr>
            <w:r>
              <w:rPr>
                <w:rFonts w:hint="eastAsia" w:ascii="仿宋_GB2312" w:hAnsi="仿宋" w:eastAsia="仿宋_GB2312" w:cs="仿宋"/>
                <w:b/>
                <w:sz w:val="24"/>
              </w:rPr>
              <w:t>评分项目</w:t>
            </w:r>
          </w:p>
        </w:tc>
        <w:tc>
          <w:tcPr>
            <w:tcW w:w="716" w:type="dxa"/>
            <w:vAlign w:val="center"/>
          </w:tcPr>
          <w:p w14:paraId="350D7330">
            <w:pPr>
              <w:jc w:val="center"/>
              <w:rPr>
                <w:rFonts w:ascii="仿宋_GB2312" w:hAnsi="仿宋" w:eastAsia="仿宋_GB2312"/>
                <w:b/>
                <w:sz w:val="24"/>
              </w:rPr>
            </w:pPr>
            <w:r>
              <w:rPr>
                <w:rFonts w:hint="eastAsia" w:ascii="仿宋_GB2312" w:hAnsi="仿宋" w:eastAsia="仿宋_GB2312"/>
                <w:b/>
                <w:bCs/>
                <w:sz w:val="24"/>
              </w:rPr>
              <w:t>分值</w:t>
            </w:r>
          </w:p>
        </w:tc>
        <w:tc>
          <w:tcPr>
            <w:tcW w:w="6652" w:type="dxa"/>
            <w:vAlign w:val="center"/>
          </w:tcPr>
          <w:p w14:paraId="6008C3F7">
            <w:pPr>
              <w:jc w:val="center"/>
              <w:rPr>
                <w:rFonts w:ascii="仿宋_GB2312" w:hAnsi="仿宋" w:eastAsia="仿宋_GB2312"/>
                <w:b/>
                <w:sz w:val="24"/>
              </w:rPr>
            </w:pPr>
            <w:r>
              <w:rPr>
                <w:rFonts w:hint="eastAsia" w:ascii="仿宋_GB2312" w:hAnsi="仿宋" w:eastAsia="仿宋_GB2312"/>
                <w:b/>
                <w:bCs/>
                <w:sz w:val="24"/>
              </w:rPr>
              <w:t>评分标准</w:t>
            </w:r>
          </w:p>
        </w:tc>
      </w:tr>
      <w:tr w14:paraId="2EE8D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vAlign w:val="center"/>
          </w:tcPr>
          <w:p w14:paraId="3F701081">
            <w:pPr>
              <w:jc w:val="center"/>
              <w:rPr>
                <w:rFonts w:hint="eastAsia" w:ascii="宋体" w:hAnsi="宋体" w:cs="宋体"/>
                <w:bCs/>
                <w:szCs w:val="21"/>
              </w:rPr>
            </w:pPr>
            <w:r>
              <w:rPr>
                <w:rFonts w:hint="eastAsia" w:ascii="仿宋" w:hAnsi="仿宋" w:eastAsia="仿宋" w:cs="仿宋"/>
                <w:color w:val="000000"/>
                <w:sz w:val="24"/>
              </w:rPr>
              <w:t>资格审查条件</w:t>
            </w:r>
          </w:p>
        </w:tc>
        <w:tc>
          <w:tcPr>
            <w:tcW w:w="716" w:type="dxa"/>
            <w:vAlign w:val="center"/>
          </w:tcPr>
          <w:p w14:paraId="4935F842">
            <w:pPr>
              <w:jc w:val="center"/>
              <w:rPr>
                <w:rFonts w:hint="eastAsia" w:ascii="宋体" w:hAnsi="宋体" w:cs="宋体"/>
                <w:bCs/>
                <w:szCs w:val="21"/>
              </w:rPr>
            </w:pPr>
            <w:r>
              <w:rPr>
                <w:rFonts w:hint="eastAsia" w:ascii="仿宋" w:hAnsi="仿宋" w:eastAsia="仿宋" w:cs="仿宋"/>
                <w:color w:val="000000"/>
                <w:sz w:val="24"/>
              </w:rPr>
              <w:t>15</w:t>
            </w:r>
          </w:p>
        </w:tc>
        <w:tc>
          <w:tcPr>
            <w:tcW w:w="6652" w:type="dxa"/>
            <w:vAlign w:val="center"/>
          </w:tcPr>
          <w:p w14:paraId="3681DC2F">
            <w:pPr>
              <w:rPr>
                <w:rFonts w:hint="eastAsia" w:ascii="宋体" w:hAnsi="宋体" w:cs="宋体"/>
                <w:bCs/>
                <w:szCs w:val="21"/>
              </w:rPr>
            </w:pPr>
            <w:r>
              <w:rPr>
                <w:rFonts w:hint="eastAsia" w:ascii="仿宋" w:hAnsi="仿宋" w:eastAsia="仿宋" w:cs="仿宋"/>
                <w:color w:val="000000"/>
                <w:sz w:val="24"/>
              </w:rPr>
              <w:t>通过资格评审即得15分</w:t>
            </w:r>
          </w:p>
        </w:tc>
      </w:tr>
      <w:tr w14:paraId="7BB38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vMerge w:val="restart"/>
            <w:vAlign w:val="center"/>
          </w:tcPr>
          <w:p w14:paraId="35F0E3AE">
            <w:pPr>
              <w:jc w:val="center"/>
              <w:rPr>
                <w:rFonts w:ascii="仿宋" w:hAnsi="仿宋" w:eastAsia="仿宋" w:cs="仿宋"/>
                <w:color w:val="000000"/>
                <w:sz w:val="24"/>
              </w:rPr>
            </w:pPr>
            <w:r>
              <w:rPr>
                <w:rFonts w:hint="eastAsia" w:ascii="仿宋" w:hAnsi="仿宋" w:eastAsia="仿宋" w:cs="仿宋"/>
                <w:color w:val="000000"/>
                <w:sz w:val="24"/>
              </w:rPr>
              <w:t>监理</w:t>
            </w:r>
          </w:p>
          <w:p w14:paraId="755B51EA">
            <w:pPr>
              <w:jc w:val="center"/>
              <w:rPr>
                <w:rFonts w:hint="eastAsia" w:ascii="宋体" w:hAnsi="宋体" w:cs="宋体"/>
                <w:szCs w:val="21"/>
              </w:rPr>
            </w:pPr>
            <w:r>
              <w:rPr>
                <w:rFonts w:hint="eastAsia" w:ascii="仿宋" w:hAnsi="仿宋" w:eastAsia="仿宋" w:cs="仿宋"/>
                <w:color w:val="000000"/>
                <w:sz w:val="24"/>
              </w:rPr>
              <w:t>业绩加分</w:t>
            </w:r>
          </w:p>
        </w:tc>
        <w:tc>
          <w:tcPr>
            <w:tcW w:w="716" w:type="dxa"/>
            <w:vAlign w:val="center"/>
          </w:tcPr>
          <w:p w14:paraId="4B6277B1">
            <w:pPr>
              <w:jc w:val="center"/>
              <w:rPr>
                <w:rFonts w:hint="eastAsia" w:ascii="宋体" w:hAnsi="宋体" w:cs="宋体"/>
                <w:szCs w:val="21"/>
              </w:rPr>
            </w:pPr>
            <w:r>
              <w:rPr>
                <w:rFonts w:hint="eastAsia" w:ascii="仿宋" w:hAnsi="仿宋" w:eastAsia="仿宋" w:cs="仿宋"/>
                <w:color w:val="000000"/>
                <w:sz w:val="24"/>
              </w:rPr>
              <w:t>5</w:t>
            </w:r>
          </w:p>
        </w:tc>
        <w:tc>
          <w:tcPr>
            <w:tcW w:w="6652" w:type="dxa"/>
            <w:vAlign w:val="center"/>
          </w:tcPr>
          <w:p w14:paraId="1B969A8B">
            <w:pPr>
              <w:rPr>
                <w:rFonts w:hint="eastAsia" w:ascii="宋体" w:hAnsi="宋体" w:cs="宋体"/>
                <w:szCs w:val="21"/>
              </w:rPr>
            </w:pPr>
            <w:r>
              <w:rPr>
                <w:rFonts w:hint="eastAsia" w:ascii="仿宋" w:hAnsi="仿宋" w:eastAsia="仿宋" w:cs="仿宋"/>
                <w:color w:val="000000"/>
                <w:sz w:val="24"/>
              </w:rPr>
              <w:t>满足资格审查条件之外，2019年1月1日至投标截止时间，完成的新建或改扩建高速公路路面工程施工监理合同段或包含路面工程的新建或改扩建高速公路项目施工监理合同段每增加1个加2.5分，最多加5分。</w:t>
            </w:r>
          </w:p>
        </w:tc>
      </w:tr>
      <w:tr w14:paraId="43445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04" w:type="dxa"/>
            <w:vMerge w:val="continue"/>
            <w:vAlign w:val="center"/>
          </w:tcPr>
          <w:p w14:paraId="3146A104">
            <w:pPr>
              <w:jc w:val="center"/>
              <w:rPr>
                <w:rFonts w:hint="eastAsia" w:ascii="宋体" w:hAnsi="宋体" w:cs="宋体"/>
                <w:szCs w:val="21"/>
              </w:rPr>
            </w:pPr>
          </w:p>
        </w:tc>
        <w:tc>
          <w:tcPr>
            <w:tcW w:w="716" w:type="dxa"/>
            <w:vAlign w:val="center"/>
          </w:tcPr>
          <w:p w14:paraId="7D9BE1C1">
            <w:pPr>
              <w:jc w:val="center"/>
              <w:rPr>
                <w:rFonts w:hint="eastAsia" w:ascii="宋体" w:hAnsi="宋体" w:cs="宋体"/>
                <w:szCs w:val="21"/>
              </w:rPr>
            </w:pPr>
            <w:r>
              <w:rPr>
                <w:rFonts w:hint="eastAsia" w:ascii="仿宋" w:hAnsi="仿宋" w:eastAsia="仿宋" w:cs="仿宋"/>
                <w:color w:val="000000"/>
                <w:sz w:val="24"/>
              </w:rPr>
              <w:t>5</w:t>
            </w:r>
          </w:p>
        </w:tc>
        <w:tc>
          <w:tcPr>
            <w:tcW w:w="6652" w:type="dxa"/>
            <w:vAlign w:val="center"/>
          </w:tcPr>
          <w:p w14:paraId="60309801">
            <w:pPr>
              <w:rPr>
                <w:rFonts w:hint="eastAsia" w:ascii="宋体" w:hAnsi="宋体" w:cs="宋体"/>
                <w:szCs w:val="21"/>
              </w:rPr>
            </w:pPr>
            <w:r>
              <w:rPr>
                <w:rFonts w:hint="eastAsia" w:ascii="仿宋" w:hAnsi="仿宋" w:eastAsia="仿宋" w:cs="仿宋"/>
                <w:color w:val="000000"/>
                <w:sz w:val="24"/>
              </w:rPr>
              <w:t>满足资格审查条件之外，2019年1月1日至投标截止时间，完成的新建或改扩建高速公路路面工程施工监理合同段或包含路面工程的新建或改扩建高速公路项目施工监理合同段监理的路面工程里程累计每增加20km（双幅）加1分。此项最多加5分，路面工程里程不足20km（双幅）不计分。</w:t>
            </w:r>
          </w:p>
        </w:tc>
      </w:tr>
    </w:tbl>
    <w:p w14:paraId="2FEFBDBB">
      <w:pPr>
        <w:pStyle w:val="3"/>
        <w:adjustRightInd w:val="0"/>
        <w:snapToGrid w:val="0"/>
        <w:spacing w:before="312" w:beforeLines="100" w:after="0" w:line="360" w:lineRule="auto"/>
      </w:pPr>
      <w:r>
        <w:t>四、履约信誉（</w:t>
      </w:r>
      <w:r>
        <w:rPr>
          <w:rFonts w:hint="eastAsia"/>
        </w:rPr>
        <w:t>5</w:t>
      </w:r>
      <w:r>
        <w:t>分）</w:t>
      </w:r>
    </w:p>
    <w:tbl>
      <w:tblPr>
        <w:tblStyle w:val="9"/>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3"/>
        <w:gridCol w:w="783"/>
        <w:gridCol w:w="6795"/>
      </w:tblGrid>
      <w:tr w14:paraId="0D80F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93" w:type="dxa"/>
            <w:tcBorders>
              <w:tl2br w:val="nil"/>
              <w:tr2bl w:val="nil"/>
            </w:tcBorders>
            <w:vAlign w:val="center"/>
          </w:tcPr>
          <w:p w14:paraId="1B4E7358">
            <w:pPr>
              <w:jc w:val="center"/>
              <w:rPr>
                <w:rFonts w:ascii="仿宋_GB2312" w:hAnsi="宋体" w:eastAsia="仿宋_GB2312"/>
                <w:b/>
                <w:sz w:val="24"/>
              </w:rPr>
            </w:pPr>
            <w:r>
              <w:rPr>
                <w:rFonts w:hint="eastAsia" w:ascii="仿宋_GB2312" w:hAnsi="仿宋" w:eastAsia="仿宋_GB2312" w:cs="仿宋"/>
                <w:b/>
                <w:sz w:val="24"/>
              </w:rPr>
              <w:t>评分项目</w:t>
            </w:r>
          </w:p>
        </w:tc>
        <w:tc>
          <w:tcPr>
            <w:tcW w:w="783" w:type="dxa"/>
            <w:tcBorders>
              <w:tl2br w:val="nil"/>
              <w:tr2bl w:val="nil"/>
            </w:tcBorders>
            <w:vAlign w:val="center"/>
          </w:tcPr>
          <w:p w14:paraId="2BABCA97">
            <w:pPr>
              <w:jc w:val="center"/>
              <w:rPr>
                <w:rFonts w:ascii="仿宋_GB2312" w:hAnsi="宋体" w:eastAsia="仿宋_GB2312"/>
                <w:b/>
                <w:sz w:val="24"/>
              </w:rPr>
            </w:pPr>
            <w:r>
              <w:rPr>
                <w:rFonts w:hint="eastAsia" w:ascii="仿宋_GB2312" w:hAnsi="仿宋" w:eastAsia="仿宋_GB2312"/>
                <w:b/>
                <w:bCs/>
                <w:sz w:val="24"/>
              </w:rPr>
              <w:t>分值</w:t>
            </w:r>
          </w:p>
        </w:tc>
        <w:tc>
          <w:tcPr>
            <w:tcW w:w="6795" w:type="dxa"/>
            <w:tcBorders>
              <w:tl2br w:val="nil"/>
              <w:tr2bl w:val="nil"/>
            </w:tcBorders>
            <w:vAlign w:val="center"/>
          </w:tcPr>
          <w:p w14:paraId="7887D19A">
            <w:pPr>
              <w:jc w:val="center"/>
              <w:rPr>
                <w:rFonts w:ascii="仿宋_GB2312" w:hAnsi="宋体" w:eastAsia="仿宋_GB2312"/>
                <w:b/>
                <w:sz w:val="24"/>
              </w:rPr>
            </w:pPr>
            <w:r>
              <w:rPr>
                <w:rFonts w:hint="eastAsia" w:ascii="仿宋_GB2312" w:hAnsi="仿宋" w:eastAsia="仿宋_GB2312"/>
                <w:b/>
                <w:bCs/>
                <w:sz w:val="24"/>
              </w:rPr>
              <w:t>评分标准</w:t>
            </w:r>
          </w:p>
        </w:tc>
      </w:tr>
      <w:tr w14:paraId="06096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9" w:hRule="atLeast"/>
          <w:jc w:val="center"/>
        </w:trPr>
        <w:tc>
          <w:tcPr>
            <w:tcW w:w="1493" w:type="dxa"/>
            <w:tcBorders>
              <w:tl2br w:val="nil"/>
              <w:tr2bl w:val="nil"/>
            </w:tcBorders>
            <w:vAlign w:val="center"/>
          </w:tcPr>
          <w:p w14:paraId="288906F7">
            <w:pPr>
              <w:rPr>
                <w:rFonts w:hint="eastAsia" w:ascii="宋体" w:hAnsi="宋体" w:cs="宋体"/>
                <w:bCs/>
                <w:szCs w:val="21"/>
              </w:rPr>
            </w:pPr>
            <w:r>
              <w:rPr>
                <w:rFonts w:hint="eastAsia" w:ascii="仿宋" w:hAnsi="仿宋" w:eastAsia="仿宋" w:cs="仿宋"/>
                <w:color w:val="000000"/>
                <w:sz w:val="24"/>
              </w:rPr>
              <w:t>信用评价</w:t>
            </w:r>
          </w:p>
        </w:tc>
        <w:tc>
          <w:tcPr>
            <w:tcW w:w="783" w:type="dxa"/>
            <w:tcBorders>
              <w:tl2br w:val="nil"/>
              <w:tr2bl w:val="nil"/>
            </w:tcBorders>
            <w:vAlign w:val="center"/>
          </w:tcPr>
          <w:p w14:paraId="2BDCFCCF">
            <w:pPr>
              <w:jc w:val="center"/>
              <w:rPr>
                <w:rFonts w:hint="eastAsia" w:ascii="宋体" w:hAnsi="宋体" w:cs="宋体"/>
                <w:bCs/>
                <w:szCs w:val="21"/>
              </w:rPr>
            </w:pPr>
            <w:r>
              <w:rPr>
                <w:rFonts w:hint="eastAsia" w:ascii="仿宋" w:hAnsi="仿宋" w:eastAsia="仿宋" w:cs="仿宋"/>
                <w:color w:val="000000"/>
                <w:sz w:val="24"/>
              </w:rPr>
              <w:t>5</w:t>
            </w:r>
          </w:p>
        </w:tc>
        <w:tc>
          <w:tcPr>
            <w:tcW w:w="6795" w:type="dxa"/>
            <w:tcBorders>
              <w:tl2br w:val="nil"/>
              <w:tr2bl w:val="nil"/>
            </w:tcBorders>
            <w:vAlign w:val="center"/>
          </w:tcPr>
          <w:p w14:paraId="57DB6B30">
            <w:pPr>
              <w:jc w:val="left"/>
              <w:rPr>
                <w:rFonts w:ascii="仿宋" w:hAnsi="仿宋" w:eastAsia="仿宋" w:cs="仿宋"/>
                <w:color w:val="000000"/>
                <w:sz w:val="24"/>
              </w:rPr>
            </w:pPr>
            <w:r>
              <w:rPr>
                <w:rFonts w:hint="eastAsia" w:ascii="仿宋" w:hAnsi="仿宋" w:eastAsia="仿宋" w:cs="仿宋"/>
                <w:color w:val="000000"/>
                <w:sz w:val="24"/>
              </w:rPr>
              <w:t>根据陕西省交通运输厅《关于陕西省2023年度公路建设市场从业企业信用评价结果应用的通知》（陕交函〔2024〕665号）文件规定：</w:t>
            </w:r>
          </w:p>
          <w:p w14:paraId="17ABF00C">
            <w:pPr>
              <w:jc w:val="left"/>
              <w:rPr>
                <w:rFonts w:ascii="仿宋" w:hAnsi="仿宋" w:eastAsia="仿宋" w:cs="仿宋"/>
                <w:color w:val="000000"/>
                <w:sz w:val="24"/>
              </w:rPr>
            </w:pPr>
            <w:r>
              <w:rPr>
                <w:rFonts w:hint="eastAsia" w:ascii="仿宋" w:hAnsi="仿宋" w:eastAsia="仿宋" w:cs="仿宋"/>
                <w:color w:val="000000"/>
                <w:sz w:val="24"/>
              </w:rPr>
              <w:t>1.按照公路监理企业的信用评价等级进行评分，信用评价等级为AA级的监理企业得5分；信用评价等级为A级的监理企业得3分；信用评价等级为B级、C级的监理企业不得分。</w:t>
            </w:r>
          </w:p>
          <w:p w14:paraId="3A24CD82">
            <w:pPr>
              <w:jc w:val="left"/>
              <w:rPr>
                <w:rFonts w:ascii="仿宋" w:hAnsi="仿宋" w:eastAsia="仿宋" w:cs="仿宋"/>
                <w:color w:val="000000"/>
                <w:sz w:val="24"/>
              </w:rPr>
            </w:pPr>
            <w:r>
              <w:rPr>
                <w:rFonts w:hint="eastAsia" w:ascii="仿宋" w:hAnsi="仿宋" w:eastAsia="仿宋" w:cs="仿宋"/>
                <w:color w:val="000000"/>
                <w:sz w:val="24"/>
              </w:rPr>
              <w:t>2.对具有陕西省2022年度信用评价等级而无2023年度信用评价等级的企业，其2022年度信用评价等级延续1年。</w:t>
            </w:r>
          </w:p>
          <w:p w14:paraId="30ECC334">
            <w:pPr>
              <w:rPr>
                <w:rFonts w:ascii="宋体" w:hAnsi="宋体" w:cs="宋体"/>
                <w:szCs w:val="21"/>
              </w:rPr>
            </w:pPr>
            <w:r>
              <w:rPr>
                <w:rFonts w:hint="eastAsia" w:ascii="仿宋" w:hAnsi="仿宋" w:eastAsia="仿宋" w:cs="仿宋"/>
                <w:color w:val="000000"/>
                <w:sz w:val="24"/>
              </w:rPr>
              <w:t>3.初次进入陕西省的从业企业，按照全国公路监理企业综合信用评价等级确定。延续省厅上一年信用评价结果后仍无信用评价结果的，按照交通运输部公路监理企业全国综合评价结果对待，但不得高于省厅原评价等级的上一级。无全国综合评价结果的企业，且无不良信用行为，其信用评价等级按A级对待。</w:t>
            </w:r>
          </w:p>
        </w:tc>
      </w:tr>
    </w:tbl>
    <w:p w14:paraId="5B3DCAFC">
      <w:pPr>
        <w:spacing w:line="360" w:lineRule="auto"/>
        <w:ind w:left="60" w:firstLine="640" w:firstLineChars="200"/>
        <w:jc w:val="left"/>
        <w:rPr>
          <w:rFonts w:ascii="仿宋" w:hAnsi="仿宋" w:eastAsia="仿宋" w:cs="宋体"/>
          <w:color w:val="000000"/>
          <w:sz w:val="32"/>
        </w:rPr>
      </w:pPr>
      <w:r>
        <w:rPr>
          <w:rFonts w:hint="eastAsia" w:ascii="仿宋" w:hAnsi="仿宋" w:eastAsia="仿宋" w:cs="宋体"/>
          <w:color w:val="000000"/>
          <w:sz w:val="32"/>
        </w:rPr>
        <w:t>“评标办法”正文见</w:t>
      </w:r>
      <w:bookmarkStart w:id="5" w:name="_GoBack"/>
      <w:bookmarkEnd w:id="5"/>
      <w:r>
        <w:rPr>
          <w:rFonts w:hint="eastAsia" w:ascii="仿宋" w:hAnsi="仿宋" w:eastAsia="仿宋" w:cs="宋体"/>
          <w:color w:val="000000"/>
          <w:sz w:val="32"/>
        </w:rPr>
        <w:t>“标准监理招标文件”及“公路标准监理招标文件”</w:t>
      </w:r>
    </w:p>
    <w:p w14:paraId="19814834">
      <w:pPr>
        <w:pStyle w:val="18"/>
        <w:shd w:val="clear" w:color="auto" w:fill="auto"/>
        <w:tabs>
          <w:tab w:val="left" w:leader="underscore" w:pos="3528"/>
          <w:tab w:val="left" w:leader="underscore" w:pos="7357"/>
        </w:tabs>
        <w:spacing w:before="0" w:after="0" w:line="460" w:lineRule="exact"/>
        <w:ind w:firstLine="562" w:firstLineChars="200"/>
        <w:jc w:val="both"/>
        <w:rPr>
          <w:rFonts w:hint="eastAsia" w:ascii="宋体" w:hAnsi="宋体" w:eastAsia="宋体"/>
          <w:b/>
          <w:kern w:val="0"/>
          <w:sz w:val="28"/>
          <w:szCs w:val="28"/>
        </w:rPr>
      </w:pPr>
      <w:r>
        <w:rPr>
          <w:rFonts w:hint="eastAsia" w:ascii="宋体" w:hAnsi="宋体" w:eastAsia="宋体"/>
          <w:b/>
          <w:kern w:val="0"/>
          <w:sz w:val="28"/>
          <w:szCs w:val="28"/>
        </w:rPr>
        <w:t>四.招标人联系方式</w:t>
      </w:r>
    </w:p>
    <w:p w14:paraId="0FBBB13C">
      <w:pPr>
        <w:tabs>
          <w:tab w:val="left" w:pos="1778"/>
        </w:tabs>
        <w:spacing w:line="360" w:lineRule="auto"/>
        <w:ind w:firstLine="480" w:firstLineChars="200"/>
        <w:outlineLvl w:val="1"/>
        <w:rPr>
          <w:rFonts w:ascii="Times New Roman" w:hAnsi="Times New Roman" w:eastAsiaTheme="minorEastAsia"/>
          <w:sz w:val="24"/>
        </w:rPr>
      </w:pPr>
      <w:r>
        <w:rPr>
          <w:rFonts w:ascii="Times New Roman" w:hAnsiTheme="minorEastAsia" w:eastAsiaTheme="minorEastAsia"/>
          <w:sz w:val="24"/>
        </w:rPr>
        <w:t>招</w:t>
      </w:r>
      <w:r>
        <w:rPr>
          <w:rFonts w:ascii="Times New Roman" w:hAnsi="Times New Roman" w:eastAsiaTheme="minorEastAsia"/>
          <w:sz w:val="24"/>
        </w:rPr>
        <w:t xml:space="preserve"> </w:t>
      </w:r>
      <w:r>
        <w:rPr>
          <w:rFonts w:ascii="Times New Roman" w:hAnsiTheme="minorEastAsia" w:eastAsiaTheme="minorEastAsia"/>
          <w:sz w:val="24"/>
        </w:rPr>
        <w:t>标</w:t>
      </w:r>
      <w:r>
        <w:rPr>
          <w:rFonts w:ascii="Times New Roman" w:hAnsi="Times New Roman" w:eastAsiaTheme="minorEastAsia"/>
          <w:sz w:val="24"/>
        </w:rPr>
        <w:t xml:space="preserve"> </w:t>
      </w:r>
      <w:r>
        <w:rPr>
          <w:rFonts w:ascii="Times New Roman" w:hAnsiTheme="minorEastAsia" w:eastAsiaTheme="minorEastAsia"/>
          <w:sz w:val="24"/>
        </w:rPr>
        <w:t>人：陕西交通控股集团有限公司</w:t>
      </w:r>
    </w:p>
    <w:p w14:paraId="2E8B0312">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sz w:val="24"/>
        </w:rPr>
        <w:t>地</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址：陕西省西安市太白南路</w:t>
      </w:r>
      <w:r>
        <w:rPr>
          <w:rFonts w:ascii="Times New Roman" w:hAnsi="Times New Roman" w:eastAsiaTheme="minorEastAsia"/>
          <w:color w:val="000000" w:themeColor="text1"/>
          <w:sz w:val="24"/>
          <w:highlight w:val="none"/>
          <w14:textFill>
            <w14:solidFill>
              <w14:schemeClr w14:val="tx1"/>
            </w14:solidFill>
          </w14:textFill>
        </w:rPr>
        <w:t>9</w:t>
      </w:r>
      <w:r>
        <w:rPr>
          <w:rFonts w:ascii="Times New Roman" w:hAnsiTheme="minorEastAsia" w:eastAsiaTheme="minorEastAsia"/>
          <w:color w:val="000000" w:themeColor="text1"/>
          <w:sz w:val="24"/>
          <w:highlight w:val="none"/>
          <w14:textFill>
            <w14:solidFill>
              <w14:schemeClr w14:val="tx1"/>
            </w14:solidFill>
          </w14:textFill>
        </w:rPr>
        <w:t>号</w:t>
      </w:r>
    </w:p>
    <w:p w14:paraId="26018CD4">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邮政编码：</w:t>
      </w:r>
      <w:r>
        <w:rPr>
          <w:rFonts w:ascii="Times New Roman" w:hAnsi="Times New Roman" w:eastAsiaTheme="minorEastAsia"/>
          <w:color w:val="000000" w:themeColor="text1"/>
          <w:sz w:val="24"/>
          <w:highlight w:val="none"/>
          <w14:textFill>
            <w14:solidFill>
              <w14:schemeClr w14:val="tx1"/>
            </w14:solidFill>
          </w14:textFill>
        </w:rPr>
        <w:t>710065</w:t>
      </w:r>
    </w:p>
    <w:p w14:paraId="248458D7">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联</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系</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人：刘先生</w:t>
      </w:r>
      <w:r>
        <w:rPr>
          <w:rFonts w:ascii="Times New Roman" w:hAnsi="Times New Roman" w:eastAsiaTheme="minorEastAsia"/>
          <w:color w:val="000000" w:themeColor="text1"/>
          <w:sz w:val="24"/>
          <w:highlight w:val="none"/>
          <w14:textFill>
            <w14:solidFill>
              <w14:schemeClr w14:val="tx1"/>
            </w14:solidFill>
          </w14:textFill>
        </w:rPr>
        <w:t xml:space="preserve">  </w:t>
      </w:r>
    </w:p>
    <w:p w14:paraId="0450EFF3">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电</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话：</w:t>
      </w:r>
      <w:r>
        <w:rPr>
          <w:rFonts w:hint="eastAsia" w:ascii="Times New Roman" w:hAnsi="Times New Roman" w:eastAsiaTheme="minorEastAsia"/>
          <w:color w:val="000000" w:themeColor="text1"/>
          <w:sz w:val="24"/>
          <w:highlight w:val="none"/>
          <w14:textFill>
            <w14:solidFill>
              <w14:schemeClr w14:val="tx1"/>
            </w14:solidFill>
          </w14:textFill>
        </w:rPr>
        <w:t>0915-3358816</w:t>
      </w:r>
    </w:p>
    <w:p w14:paraId="3011E777">
      <w:pPr>
        <w:tabs>
          <w:tab w:val="left" w:pos="1778"/>
        </w:tabs>
        <w:spacing w:line="360" w:lineRule="auto"/>
        <w:ind w:firstLine="480" w:firstLineChars="200"/>
        <w:outlineLvl w:val="1"/>
        <w:rPr>
          <w:rFonts w:ascii="Times New Roman" w:hAnsi="Times New Roman" w:eastAsiaTheme="minorEastAsia"/>
          <w:color w:val="000000" w:themeColor="text1"/>
          <w:sz w:val="24"/>
          <w:highlight w:val="none"/>
          <w14:textFill>
            <w14:solidFill>
              <w14:schemeClr w14:val="tx1"/>
            </w14:solidFill>
          </w14:textFill>
        </w:rPr>
      </w:pPr>
      <w:r>
        <w:rPr>
          <w:rFonts w:ascii="Times New Roman" w:hAnsiTheme="minorEastAsia" w:eastAsiaTheme="minorEastAsia"/>
          <w:color w:val="000000" w:themeColor="text1"/>
          <w:sz w:val="24"/>
          <w:highlight w:val="none"/>
          <w14:textFill>
            <w14:solidFill>
              <w14:schemeClr w14:val="tx1"/>
            </w14:solidFill>
          </w14:textFill>
        </w:rPr>
        <w:t>邮</w:t>
      </w:r>
      <w:r>
        <w:rPr>
          <w:rFonts w:ascii="Times New Roman" w:hAnsi="Times New Roman" w:eastAsiaTheme="minorEastAsia"/>
          <w:color w:val="000000" w:themeColor="text1"/>
          <w:sz w:val="24"/>
          <w:highlight w:val="none"/>
          <w14:textFill>
            <w14:solidFill>
              <w14:schemeClr w14:val="tx1"/>
            </w14:solidFill>
          </w14:textFill>
        </w:rPr>
        <w:t xml:space="preserve">    </w:t>
      </w:r>
      <w:r>
        <w:rPr>
          <w:rFonts w:ascii="Times New Roman" w:hAnsiTheme="minorEastAsia" w:eastAsiaTheme="minorEastAsia"/>
          <w:color w:val="000000" w:themeColor="text1"/>
          <w:sz w:val="24"/>
          <w:highlight w:val="none"/>
          <w14:textFill>
            <w14:solidFill>
              <w14:schemeClr w14:val="tx1"/>
            </w14:solidFill>
          </w14:textFill>
        </w:rPr>
        <w:t>箱：</w:t>
      </w:r>
      <w:r>
        <w:rPr>
          <w:rFonts w:ascii="Times New Roman" w:hAnsi="Times New Roman" w:eastAsiaTheme="minorEastAsia"/>
          <w:color w:val="000000" w:themeColor="text1"/>
          <w:sz w:val="24"/>
          <w:highlight w:val="none"/>
          <w14:textFill>
            <w14:solidFill>
              <w14:schemeClr w14:val="tx1"/>
            </w14:solidFill>
          </w14:textFill>
        </w:rPr>
        <w:t>sxgsalglc@163.com</w:t>
      </w:r>
    </w:p>
    <w:p w14:paraId="4378B4EF">
      <w:pPr>
        <w:spacing w:line="360" w:lineRule="auto"/>
        <w:ind w:left="60" w:firstLine="640" w:firstLineChars="200"/>
        <w:jc w:val="left"/>
        <w:rPr>
          <w:rFonts w:hint="eastAsia" w:ascii="仿宋" w:hAnsi="仿宋" w:eastAsia="仿宋" w:cs="宋体"/>
          <w:color w:val="000000"/>
          <w:sz w:val="32"/>
        </w:rPr>
      </w:pPr>
    </w:p>
    <w:p w14:paraId="7F6C0196">
      <w:pPr>
        <w:rPr>
          <w:rFonts w:hint="eastAsia" w:ascii="仿宋" w:hAnsi="仿宋" w:eastAsia="仿宋" w:cs="仿宋"/>
          <w:b/>
          <w:bCs/>
          <w:color w:val="00000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yNDk2NjYyZDI0NDNmNTE5MTdlYWJkNjNlYjY2Y2QifQ=="/>
  </w:docVars>
  <w:rsids>
    <w:rsidRoot w:val="0017704D"/>
    <w:rsid w:val="00041D25"/>
    <w:rsid w:val="0017704D"/>
    <w:rsid w:val="001C5CF4"/>
    <w:rsid w:val="00446701"/>
    <w:rsid w:val="005B4614"/>
    <w:rsid w:val="007A39ED"/>
    <w:rsid w:val="007E0089"/>
    <w:rsid w:val="01BB4A92"/>
    <w:rsid w:val="125535EC"/>
    <w:rsid w:val="16F426A2"/>
    <w:rsid w:val="21021CF9"/>
    <w:rsid w:val="2A674479"/>
    <w:rsid w:val="32351046"/>
    <w:rsid w:val="72671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3"/>
    <w:qFormat/>
    <w:uiPriority w:val="0"/>
    <w:pPr>
      <w:keepNext/>
      <w:keepLines/>
      <w:spacing w:before="260" w:after="260" w:line="416" w:lineRule="auto"/>
      <w:outlineLvl w:val="2"/>
    </w:pPr>
    <w:rPr>
      <w:rFonts w:ascii="Times New Roman" w:hAnsi="Times New Roman"/>
      <w:b/>
      <w:bCs/>
      <w:sz w:val="32"/>
      <w:szCs w:val="32"/>
    </w:rPr>
  </w:style>
  <w:style w:type="paragraph" w:styleId="3">
    <w:name w:val="heading 4"/>
    <w:basedOn w:val="1"/>
    <w:next w:val="1"/>
    <w:link w:val="14"/>
    <w:qFormat/>
    <w:uiPriority w:val="0"/>
    <w:pPr>
      <w:keepNext/>
      <w:keepLines/>
      <w:spacing w:before="280" w:after="290" w:line="374" w:lineRule="auto"/>
      <w:outlineLvl w:val="3"/>
    </w:pPr>
    <w:rPr>
      <w:rFonts w:ascii="Arial" w:hAnsi="Arial" w:eastAsia="黑体"/>
      <w:b/>
      <w:bCs/>
      <w:sz w:val="28"/>
      <w:szCs w:val="28"/>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caption"/>
    <w:basedOn w:val="1"/>
    <w:next w:val="1"/>
    <w:unhideWhenUsed/>
    <w:qFormat/>
    <w:uiPriority w:val="0"/>
    <w:rPr>
      <w:rFonts w:ascii="Arial" w:hAnsi="Arial" w:eastAsia="黑体"/>
      <w:sz w:val="20"/>
    </w:rPr>
  </w:style>
  <w:style w:type="paragraph" w:styleId="5">
    <w:name w:val="toa heading"/>
    <w:basedOn w:val="1"/>
    <w:next w:val="1"/>
    <w:unhideWhenUsed/>
    <w:qFormat/>
    <w:uiPriority w:val="99"/>
    <w:rPr>
      <w:rFonts w:ascii="Arial" w:hAnsi="Arial"/>
      <w:sz w:val="24"/>
    </w:rPr>
  </w:style>
  <w:style w:type="paragraph" w:styleId="6">
    <w:name w:val="Body Text"/>
    <w:basedOn w:val="1"/>
    <w:link w:val="17"/>
    <w:uiPriority w:val="0"/>
    <w:pPr>
      <w:spacing w:after="120"/>
    </w:pPr>
  </w:style>
  <w:style w:type="paragraph" w:styleId="7">
    <w:name w:val="footer"/>
    <w:basedOn w:val="1"/>
    <w:link w:val="12"/>
    <w:qFormat/>
    <w:uiPriority w:val="0"/>
    <w:pPr>
      <w:tabs>
        <w:tab w:val="center" w:pos="4153"/>
        <w:tab w:val="right" w:pos="8306"/>
      </w:tabs>
      <w:snapToGrid w:val="0"/>
      <w:jc w:val="left"/>
    </w:pPr>
    <w:rPr>
      <w:sz w:val="18"/>
      <w:szCs w:val="18"/>
    </w:rPr>
  </w:style>
  <w:style w:type="paragraph" w:styleId="8">
    <w:name w:val="header"/>
    <w:basedOn w:val="1"/>
    <w:link w:val="11"/>
    <w:uiPriority w:val="0"/>
    <w:pPr>
      <w:tabs>
        <w:tab w:val="center" w:pos="4153"/>
        <w:tab w:val="right" w:pos="8306"/>
      </w:tabs>
      <w:snapToGrid w:val="0"/>
      <w:jc w:val="center"/>
    </w:pPr>
    <w:rPr>
      <w:sz w:val="18"/>
      <w:szCs w:val="18"/>
    </w:rPr>
  </w:style>
  <w:style w:type="character" w:customStyle="1" w:styleId="11">
    <w:name w:val="页眉 字符"/>
    <w:basedOn w:val="10"/>
    <w:link w:val="8"/>
    <w:qFormat/>
    <w:uiPriority w:val="0"/>
    <w:rPr>
      <w:rFonts w:ascii="Calibri" w:hAnsi="Calibri" w:eastAsia="宋体" w:cs="Times New Roman"/>
      <w:kern w:val="2"/>
      <w:sz w:val="18"/>
      <w:szCs w:val="18"/>
    </w:rPr>
  </w:style>
  <w:style w:type="character" w:customStyle="1" w:styleId="12">
    <w:name w:val="页脚 字符"/>
    <w:basedOn w:val="10"/>
    <w:link w:val="7"/>
    <w:uiPriority w:val="0"/>
    <w:rPr>
      <w:rFonts w:ascii="Calibri" w:hAnsi="Calibri" w:eastAsia="宋体" w:cs="Times New Roman"/>
      <w:kern w:val="2"/>
      <w:sz w:val="18"/>
      <w:szCs w:val="18"/>
    </w:rPr>
  </w:style>
  <w:style w:type="character" w:customStyle="1" w:styleId="13">
    <w:name w:val="标题 3 字符"/>
    <w:basedOn w:val="10"/>
    <w:link w:val="2"/>
    <w:uiPriority w:val="0"/>
    <w:rPr>
      <w:rFonts w:ascii="Times New Roman" w:hAnsi="Times New Roman" w:eastAsia="宋体" w:cs="Times New Roman"/>
      <w:b/>
      <w:bCs/>
      <w:kern w:val="2"/>
      <w:sz w:val="32"/>
      <w:szCs w:val="32"/>
    </w:rPr>
  </w:style>
  <w:style w:type="character" w:customStyle="1" w:styleId="14">
    <w:name w:val="标题 4 字符"/>
    <w:basedOn w:val="10"/>
    <w:link w:val="3"/>
    <w:qFormat/>
    <w:uiPriority w:val="0"/>
    <w:rPr>
      <w:rFonts w:ascii="Arial" w:hAnsi="Arial" w:eastAsia="黑体" w:cs="Times New Roman"/>
      <w:b/>
      <w:bCs/>
      <w:kern w:val="2"/>
      <w:sz w:val="28"/>
      <w:szCs w:val="28"/>
    </w:rPr>
  </w:style>
  <w:style w:type="paragraph" w:customStyle="1" w:styleId="15">
    <w:name w:val="表格文字格式"/>
    <w:basedOn w:val="6"/>
    <w:link w:val="16"/>
    <w:qFormat/>
    <w:uiPriority w:val="0"/>
    <w:pPr>
      <w:ind w:firstLine="50" w:firstLineChars="50"/>
    </w:pPr>
    <w:rPr>
      <w:rFonts w:ascii="Times New Roman" w:hAnsi="Times New Roman"/>
    </w:rPr>
  </w:style>
  <w:style w:type="character" w:customStyle="1" w:styleId="16">
    <w:name w:val="表格文字格式 字符"/>
    <w:link w:val="15"/>
    <w:qFormat/>
    <w:uiPriority w:val="0"/>
    <w:rPr>
      <w:rFonts w:ascii="Times New Roman" w:hAnsi="Times New Roman" w:eastAsia="宋体" w:cs="Times New Roman"/>
      <w:kern w:val="2"/>
      <w:sz w:val="21"/>
      <w:szCs w:val="24"/>
    </w:rPr>
  </w:style>
  <w:style w:type="character" w:customStyle="1" w:styleId="17">
    <w:name w:val="正文文本 字符"/>
    <w:basedOn w:val="10"/>
    <w:link w:val="6"/>
    <w:uiPriority w:val="0"/>
    <w:rPr>
      <w:rFonts w:ascii="Calibri" w:hAnsi="Calibri" w:eastAsia="宋体" w:cs="Times New Roman"/>
      <w:kern w:val="2"/>
      <w:sz w:val="21"/>
      <w:szCs w:val="24"/>
    </w:rPr>
  </w:style>
  <w:style w:type="paragraph" w:customStyle="1" w:styleId="18">
    <w:name w:val="正文文本5"/>
    <w:basedOn w:val="1"/>
    <w:autoRedefine/>
    <w:qFormat/>
    <w:uiPriority w:val="0"/>
    <w:pPr>
      <w:shd w:val="clear" w:color="auto" w:fill="FFFFFF"/>
      <w:spacing w:before="120" w:after="240" w:line="0" w:lineRule="atLeast"/>
      <w:jc w:val="center"/>
    </w:pPr>
    <w:rPr>
      <w:rFonts w:ascii="黑体" w:hAnsi="黑体" w:eastAsia="黑体" w:cs="黑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5747</Words>
  <Characters>6097</Characters>
  <Lines>46</Lines>
  <Paragraphs>13</Paragraphs>
  <TotalTime>0</TotalTime>
  <ScaleCrop>false</ScaleCrop>
  <LinksUpToDate>false</LinksUpToDate>
  <CharactersWithSpaces>6144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2024-07-18T09:31:00Z</dcterms:created>
  <dc:creator>admin</dc:creator>
  <cp:lastModifiedBy>仵晓煜</cp:lastModifiedBy>
  <dcterms:modified xsi:type="dcterms:W3CDTF">2024-07-19T09:13:32Z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0FE0788D450C40099761515F8594B695_12</vt:lpwstr>
  </property>
</Properties>
</file>