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rPr>
          <w:rFonts w:hint="eastAsia" w:ascii="黑体" w:hAnsi="黑体" w:eastAsia="黑体"/>
          <w:color w:val="000000"/>
          <w:sz w:val="36"/>
          <w:szCs w:val="36"/>
        </w:rPr>
      </w:pPr>
    </w:p>
    <w:p>
      <w:pPr>
        <w:spacing w:before="312" w:beforeLines="100" w:after="312" w:afterLines="100"/>
        <w:rPr>
          <w:rFonts w:hint="eastAsia" w:ascii="黑体" w:hAnsi="黑体" w:eastAsia="黑体"/>
          <w:color w:val="000000"/>
          <w:sz w:val="36"/>
          <w:szCs w:val="36"/>
        </w:rPr>
      </w:pPr>
    </w:p>
    <w:p>
      <w:pPr>
        <w:spacing w:before="312" w:beforeLines="100" w:after="312" w:afterLines="100"/>
        <w:jc w:val="center"/>
        <w:rPr>
          <w:rFonts w:hint="eastAsia" w:ascii="方正小标宋简体" w:hAnsi="黑体" w:eastAsia="方正小标宋简体"/>
          <w:color w:val="000000"/>
          <w:sz w:val="40"/>
          <w:szCs w:val="40"/>
        </w:rPr>
      </w:pPr>
      <w:bookmarkStart w:id="17" w:name="_GoBack"/>
      <w:r>
        <w:rPr>
          <w:rFonts w:hint="eastAsia" w:ascii="方正小标宋简体" w:hAnsi="黑体" w:eastAsia="方正小标宋简体"/>
          <w:color w:val="000000"/>
          <w:sz w:val="40"/>
          <w:szCs w:val="40"/>
        </w:rPr>
        <w:t>陕西省交通运输系统门户网站绩效评估方案</w:t>
      </w:r>
    </w:p>
    <w:p>
      <w:pPr>
        <w:spacing w:before="312" w:beforeLines="100" w:after="312" w:afterLines="100"/>
        <w:jc w:val="center"/>
        <w:rPr>
          <w:rFonts w:ascii="方正小标宋简体" w:hAnsi="黑体" w:eastAsia="方正小标宋简体"/>
          <w:color w:val="000000"/>
          <w:sz w:val="40"/>
          <w:szCs w:val="40"/>
        </w:rPr>
      </w:pPr>
      <w:r>
        <w:rPr>
          <w:rFonts w:hint="eastAsia" w:ascii="方正小标宋简体" w:hAnsi="黑体" w:eastAsia="方正小标宋简体"/>
          <w:color w:val="000000"/>
          <w:sz w:val="40"/>
          <w:szCs w:val="40"/>
        </w:rPr>
        <w:t>（2</w:t>
      </w:r>
      <w:r>
        <w:rPr>
          <w:rFonts w:ascii="方正小标宋简体" w:hAnsi="黑体" w:eastAsia="方正小标宋简体"/>
          <w:color w:val="000000"/>
          <w:sz w:val="40"/>
          <w:szCs w:val="40"/>
        </w:rPr>
        <w:t>023</w:t>
      </w:r>
      <w:r>
        <w:rPr>
          <w:rFonts w:hint="eastAsia" w:ascii="方正小标宋简体" w:hAnsi="黑体" w:eastAsia="方正小标宋简体"/>
          <w:color w:val="000000"/>
          <w:sz w:val="40"/>
          <w:szCs w:val="40"/>
        </w:rPr>
        <w:t>年）</w:t>
      </w:r>
    </w:p>
    <w:bookmarkEnd w:id="17"/>
    <w:p>
      <w:pPr>
        <w:spacing w:before="312" w:beforeLines="100" w:after="312" w:afterLines="100"/>
        <w:rPr>
          <w:rFonts w:ascii="黑体" w:hAnsi="黑体" w:eastAsia="黑体"/>
          <w:color w:val="000000"/>
          <w:sz w:val="36"/>
          <w:szCs w:val="36"/>
        </w:rPr>
      </w:pPr>
    </w:p>
    <w:p>
      <w:pPr>
        <w:spacing w:before="312" w:beforeLines="100" w:after="312" w:afterLines="100"/>
        <w:rPr>
          <w:rFonts w:ascii="黑体" w:hAnsi="黑体" w:eastAsia="黑体"/>
          <w:color w:val="000000"/>
          <w:sz w:val="36"/>
          <w:szCs w:val="36"/>
        </w:rPr>
      </w:pPr>
    </w:p>
    <w:p>
      <w:pPr>
        <w:spacing w:before="312" w:beforeLines="100" w:after="312" w:afterLines="100"/>
        <w:rPr>
          <w:rFonts w:hint="eastAsia" w:ascii="黑体" w:hAnsi="黑体" w:eastAsia="黑体"/>
          <w:color w:val="000000"/>
          <w:sz w:val="36"/>
          <w:szCs w:val="36"/>
        </w:rPr>
      </w:pPr>
    </w:p>
    <w:p>
      <w:pPr>
        <w:spacing w:before="312" w:beforeLines="100" w:after="312" w:afterLines="100"/>
        <w:rPr>
          <w:rFonts w:ascii="黑体" w:hAnsi="黑体" w:eastAsia="黑体"/>
          <w:color w:val="000000"/>
          <w:sz w:val="36"/>
          <w:szCs w:val="36"/>
        </w:rPr>
      </w:pPr>
    </w:p>
    <w:p>
      <w:pPr>
        <w:spacing w:before="312" w:beforeLines="100" w:after="312" w:afterLines="100"/>
        <w:rPr>
          <w:rFonts w:ascii="黑体" w:hAnsi="黑体" w:eastAsia="黑体"/>
          <w:color w:val="000000"/>
          <w:sz w:val="36"/>
          <w:szCs w:val="36"/>
        </w:rPr>
      </w:pPr>
    </w:p>
    <w:p>
      <w:pPr>
        <w:spacing w:before="312" w:beforeLines="100" w:after="312" w:afterLines="100"/>
        <w:rPr>
          <w:rFonts w:ascii="黑体" w:hAnsi="黑体" w:eastAsia="黑体"/>
          <w:color w:val="000000"/>
          <w:sz w:val="36"/>
          <w:szCs w:val="36"/>
        </w:rPr>
      </w:pPr>
    </w:p>
    <w:p>
      <w:pPr>
        <w:spacing w:before="312" w:beforeLines="100" w:after="312" w:afterLines="100"/>
        <w:rPr>
          <w:rFonts w:ascii="黑体" w:hAnsi="黑体" w:eastAsia="黑体"/>
          <w:color w:val="000000"/>
          <w:sz w:val="36"/>
          <w:szCs w:val="36"/>
        </w:rPr>
      </w:pPr>
    </w:p>
    <w:p>
      <w:pPr>
        <w:jc w:val="both"/>
        <w:rPr>
          <w:rFonts w:ascii="黑体" w:hAnsi="黑体" w:eastAsia="黑体"/>
          <w:b/>
          <w:bCs/>
          <w:color w:val="000000"/>
          <w:sz w:val="32"/>
          <w:szCs w:val="32"/>
        </w:rPr>
      </w:pPr>
    </w:p>
    <w:p>
      <w:pPr>
        <w:jc w:val="center"/>
        <w:rPr>
          <w:rFonts w:ascii="黑体" w:hAnsi="黑体" w:eastAsia="黑体"/>
          <w:b/>
          <w:bCs/>
          <w:color w:val="000000"/>
          <w:sz w:val="32"/>
          <w:szCs w:val="32"/>
        </w:rPr>
      </w:pPr>
      <w:r>
        <w:rPr>
          <w:rFonts w:hint="eastAsia" w:ascii="黑体" w:hAnsi="黑体" w:eastAsia="黑体"/>
          <w:b/>
          <w:bCs/>
          <w:color w:val="000000"/>
          <w:sz w:val="32"/>
          <w:szCs w:val="32"/>
        </w:rPr>
        <w:t>2</w:t>
      </w:r>
      <w:r>
        <w:rPr>
          <w:rFonts w:ascii="黑体" w:hAnsi="黑体" w:eastAsia="黑体"/>
          <w:b/>
          <w:bCs/>
          <w:color w:val="000000"/>
          <w:sz w:val="32"/>
          <w:szCs w:val="32"/>
        </w:rPr>
        <w:t>023年</w:t>
      </w:r>
      <w:r>
        <w:rPr>
          <w:rFonts w:hint="eastAsia" w:ascii="黑体" w:hAnsi="黑体" w:eastAsia="黑体"/>
          <w:b/>
          <w:bCs/>
          <w:color w:val="000000"/>
          <w:sz w:val="32"/>
          <w:szCs w:val="32"/>
          <w:lang w:val="en-US" w:eastAsia="zh-CN"/>
        </w:rPr>
        <w:t>4</w:t>
      </w:r>
      <w:r>
        <w:rPr>
          <w:rFonts w:ascii="黑体" w:hAnsi="黑体" w:eastAsia="黑体"/>
          <w:b/>
          <w:bCs/>
          <w:color w:val="000000"/>
          <w:sz w:val="32"/>
          <w:szCs w:val="32"/>
        </w:rPr>
        <w:t>月</w:t>
      </w:r>
    </w:p>
    <w:p>
      <w:pPr>
        <w:spacing w:before="312" w:beforeLines="100" w:after="312" w:afterLines="100"/>
        <w:rPr>
          <w:rFonts w:ascii="黑体" w:hAnsi="黑体" w:eastAsia="黑体"/>
          <w:color w:val="000000"/>
          <w:sz w:val="36"/>
          <w:szCs w:val="36"/>
        </w:rPr>
      </w:pPr>
    </w:p>
    <w:p>
      <w:pPr>
        <w:spacing w:before="312" w:beforeLines="100" w:after="312" w:afterLines="100"/>
        <w:jc w:val="center"/>
        <w:rPr>
          <w:rFonts w:hint="eastAsia" w:ascii="黑体" w:hAnsi="黑体" w:eastAsia="黑体"/>
          <w:color w:val="000000"/>
          <w:sz w:val="36"/>
          <w:szCs w:val="36"/>
        </w:rPr>
      </w:pPr>
    </w:p>
    <w:p>
      <w:pPr>
        <w:spacing w:before="312" w:beforeLines="100" w:after="312" w:afterLines="100"/>
        <w:jc w:val="center"/>
        <w:rPr>
          <w:rFonts w:ascii="黑体" w:hAnsi="黑体" w:eastAsia="黑体"/>
          <w:color w:val="000000"/>
          <w:sz w:val="36"/>
          <w:szCs w:val="36"/>
        </w:rPr>
      </w:pPr>
      <w:r>
        <w:rPr>
          <w:rFonts w:hint="eastAsia" w:ascii="黑体" w:hAnsi="黑体" w:eastAsia="黑体"/>
          <w:color w:val="000000"/>
          <w:sz w:val="36"/>
          <w:szCs w:val="36"/>
        </w:rPr>
        <w:t>目 录</w:t>
      </w:r>
    </w:p>
    <w:p>
      <w:pPr>
        <w:widowControl w:val="0"/>
        <w:tabs>
          <w:tab w:val="left" w:pos="840"/>
          <w:tab w:val="right" w:leader="dot" w:pos="8296"/>
        </w:tabs>
        <w:jc w:val="both"/>
        <w:rPr>
          <w:rFonts w:ascii="Times New Roman" w:hAnsi="Times New Roman" w:eastAsia="仿宋_GB2312" w:cs="Times New Roman"/>
          <w:color w:val="000000"/>
          <w:kern w:val="2"/>
          <w:sz w:val="28"/>
          <w:szCs w:val="28"/>
          <w:lang w:val="en-US" w:eastAsia="zh-CN" w:bidi="ar-SA"/>
        </w:rPr>
      </w:pPr>
      <w:r>
        <w:rPr>
          <w:rFonts w:ascii="Times New Roman" w:hAnsi="Times New Roman" w:eastAsia="仿宋_GB2312" w:cs="Times New Roman"/>
          <w:color w:val="000000"/>
          <w:kern w:val="2"/>
          <w:sz w:val="28"/>
          <w:szCs w:val="28"/>
          <w:lang w:val="en-US" w:eastAsia="zh-CN" w:bidi="ar-SA"/>
        </w:rPr>
        <w:fldChar w:fldCharType="begin"/>
      </w:r>
      <w:r>
        <w:rPr>
          <w:rFonts w:ascii="Times New Roman" w:hAnsi="Times New Roman" w:eastAsia="仿宋_GB2312" w:cs="Times New Roman"/>
          <w:color w:val="000000"/>
          <w:kern w:val="2"/>
          <w:sz w:val="28"/>
          <w:szCs w:val="28"/>
          <w:lang w:val="en-US" w:eastAsia="zh-CN" w:bidi="ar-SA"/>
        </w:rPr>
        <w:instrText xml:space="preserve"> TOC \o "1-3" \h \z \u </w:instrText>
      </w:r>
      <w:r>
        <w:rPr>
          <w:rFonts w:ascii="Times New Roman" w:hAnsi="Times New Roman" w:eastAsia="仿宋_GB2312" w:cs="Times New Roman"/>
          <w:color w:val="000000"/>
          <w:kern w:val="2"/>
          <w:sz w:val="28"/>
          <w:szCs w:val="28"/>
          <w:lang w:val="en-US" w:eastAsia="zh-CN" w:bidi="ar-SA"/>
        </w:rPr>
        <w:fldChar w:fldCharType="separate"/>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"_Toc127368195"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仿宋_GB2312" w:cs="Times New Roman"/>
          <w:b/>
          <w:color w:val="000000"/>
          <w:kern w:val="2"/>
          <w:sz w:val="28"/>
          <w:szCs w:val="28"/>
          <w:u w:val="single"/>
          <w:lang w:val="en-US" w:eastAsia="zh-CN" w:bidi="ar-SA"/>
        </w:rPr>
        <w:t>一、</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b/>
          <w:color w:val="000000"/>
          <w:kern w:val="2"/>
          <w:sz w:val="28"/>
          <w:szCs w:val="28"/>
          <w:u w:val="single"/>
          <w:lang w:val="en-US" w:eastAsia="zh-CN" w:bidi="ar-SA"/>
        </w:rPr>
        <w:t>项目实施单位基本情况</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color w:val="000000"/>
          <w:kern w:val="2"/>
          <w:sz w:val="28"/>
          <w:szCs w:val="28"/>
          <w:lang w:val="en-US" w:eastAsia="zh-CN" w:bidi="ar-SA"/>
        </w:rPr>
        <w:fldChar w:fldCharType="begin"/>
      </w:r>
      <w:r>
        <w:rPr>
          <w:rFonts w:ascii="Times New Roman" w:hAnsi="Times New Roman" w:eastAsia="仿宋_GB2312" w:cs="Times New Roman"/>
          <w:color w:val="000000"/>
          <w:kern w:val="2"/>
          <w:sz w:val="28"/>
          <w:szCs w:val="28"/>
          <w:lang w:val="en-US" w:eastAsia="zh-CN" w:bidi="ar-SA"/>
        </w:rPr>
        <w:instrText xml:space="preserve"> PAGEREF _Toc127368195 \h </w:instrText>
      </w:r>
      <w:r>
        <w:rPr>
          <w:rFonts w:ascii="Times New Roman" w:hAnsi="Times New Roman" w:eastAsia="仿宋_GB2312" w:cs="Times New Roman"/>
          <w:color w:val="000000"/>
          <w:kern w:val="2"/>
          <w:sz w:val="28"/>
          <w:szCs w:val="28"/>
          <w:lang w:val="en-US" w:eastAsia="zh-CN" w:bidi="ar-SA"/>
        </w:rPr>
        <w:fldChar w:fldCharType="separate"/>
      </w:r>
      <w:r>
        <w:rPr>
          <w:rFonts w:ascii="Times New Roman" w:hAnsi="Times New Roman" w:eastAsia="仿宋_GB2312" w:cs="Times New Roman"/>
          <w:color w:val="000000"/>
          <w:kern w:val="2"/>
          <w:sz w:val="28"/>
          <w:szCs w:val="28"/>
          <w:lang w:val="en-US" w:eastAsia="zh-CN" w:bidi="ar-SA"/>
        </w:rPr>
        <w:t>3</w:t>
      </w:r>
      <w:r>
        <w:rPr>
          <w:rFonts w:ascii="Times New Roman" w:hAnsi="Times New Roman" w:eastAsia="仿宋_GB2312" w:cs="Times New Roman"/>
          <w:color w:val="000000"/>
          <w:kern w:val="2"/>
          <w:sz w:val="28"/>
          <w:szCs w:val="28"/>
          <w:lang w:val="en-US" w:eastAsia="zh-CN" w:bidi="ar-SA"/>
        </w:rPr>
        <w:fldChar w:fldCharType="end"/>
      </w:r>
      <w:r>
        <w:rPr>
          <w:rFonts w:ascii="Times New Roman" w:hAnsi="Times New Roman" w:eastAsia="仿宋_GB2312" w:cs="Times New Roman"/>
          <w:color w:val="000000"/>
          <w:kern w:val="2"/>
          <w:sz w:val="28"/>
          <w:szCs w:val="28"/>
          <w:lang w:val="en-US" w:eastAsia="zh-CN" w:bidi="ar-SA"/>
        </w:rPr>
        <w:fldChar w:fldCharType="end"/>
      </w:r>
    </w:p>
    <w:p>
      <w:pPr>
        <w:widowControl w:val="0"/>
        <w:tabs>
          <w:tab w:val="left" w:pos="840"/>
          <w:tab w:val="right" w:leader="dot" w:pos="8296"/>
        </w:tabs>
        <w:jc w:val="both"/>
        <w:rPr>
          <w:rFonts w:ascii="Times New Roman" w:hAnsi="Times New Roman" w:eastAsia="仿宋_GB2312" w:cs="Times New Roman"/>
          <w:color w:val="000000"/>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"_Toc127368196"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仿宋_GB2312" w:cs="Times New Roman"/>
          <w:b/>
          <w:color w:val="000000"/>
          <w:kern w:val="2"/>
          <w:sz w:val="28"/>
          <w:szCs w:val="28"/>
          <w:u w:val="single"/>
          <w:lang w:val="en-US" w:eastAsia="zh-CN" w:bidi="ar-SA"/>
        </w:rPr>
        <w:t>二、</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b/>
          <w:color w:val="000000"/>
          <w:kern w:val="2"/>
          <w:sz w:val="28"/>
          <w:szCs w:val="28"/>
          <w:u w:val="single"/>
          <w:lang w:val="en-US" w:eastAsia="zh-CN" w:bidi="ar-SA"/>
        </w:rPr>
        <w:t>实施依据</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color w:val="000000"/>
          <w:kern w:val="2"/>
          <w:sz w:val="28"/>
          <w:szCs w:val="28"/>
          <w:lang w:val="en-US" w:eastAsia="zh-CN" w:bidi="ar-SA"/>
        </w:rPr>
        <w:fldChar w:fldCharType="begin"/>
      </w:r>
      <w:r>
        <w:rPr>
          <w:rFonts w:ascii="Times New Roman" w:hAnsi="Times New Roman" w:eastAsia="仿宋_GB2312" w:cs="Times New Roman"/>
          <w:color w:val="000000"/>
          <w:kern w:val="2"/>
          <w:sz w:val="28"/>
          <w:szCs w:val="28"/>
          <w:lang w:val="en-US" w:eastAsia="zh-CN" w:bidi="ar-SA"/>
        </w:rPr>
        <w:instrText xml:space="preserve"> PAGEREF _Toc127368196 \h </w:instrText>
      </w:r>
      <w:r>
        <w:rPr>
          <w:rFonts w:ascii="Times New Roman" w:hAnsi="Times New Roman" w:eastAsia="仿宋_GB2312" w:cs="Times New Roman"/>
          <w:color w:val="000000"/>
          <w:kern w:val="2"/>
          <w:sz w:val="28"/>
          <w:szCs w:val="28"/>
          <w:lang w:val="en-US" w:eastAsia="zh-CN" w:bidi="ar-SA"/>
        </w:rPr>
        <w:fldChar w:fldCharType="separate"/>
      </w:r>
      <w:r>
        <w:rPr>
          <w:rFonts w:ascii="Times New Roman" w:hAnsi="Times New Roman" w:eastAsia="仿宋_GB2312" w:cs="Times New Roman"/>
          <w:color w:val="000000"/>
          <w:kern w:val="2"/>
          <w:sz w:val="28"/>
          <w:szCs w:val="28"/>
          <w:lang w:val="en-US" w:eastAsia="zh-CN" w:bidi="ar-SA"/>
        </w:rPr>
        <w:t>4</w:t>
      </w:r>
      <w:r>
        <w:rPr>
          <w:rFonts w:ascii="Times New Roman" w:hAnsi="Times New Roman" w:eastAsia="仿宋_GB2312" w:cs="Times New Roman"/>
          <w:color w:val="000000"/>
          <w:kern w:val="2"/>
          <w:sz w:val="28"/>
          <w:szCs w:val="28"/>
          <w:lang w:val="en-US" w:eastAsia="zh-CN" w:bidi="ar-SA"/>
        </w:rPr>
        <w:fldChar w:fldCharType="end"/>
      </w:r>
      <w:r>
        <w:rPr>
          <w:rFonts w:ascii="Times New Roman" w:hAnsi="Times New Roman" w:eastAsia="仿宋_GB2312" w:cs="Times New Roman"/>
          <w:color w:val="000000"/>
          <w:kern w:val="2"/>
          <w:sz w:val="28"/>
          <w:szCs w:val="28"/>
          <w:lang w:val="en-US" w:eastAsia="zh-CN" w:bidi="ar-SA"/>
        </w:rPr>
        <w:fldChar w:fldCharType="end"/>
      </w:r>
    </w:p>
    <w:p>
      <w:pPr>
        <w:widowControl w:val="0"/>
        <w:tabs>
          <w:tab w:val="left" w:pos="840"/>
          <w:tab w:val="right" w:leader="dot" w:pos="8296"/>
        </w:tabs>
        <w:jc w:val="both"/>
        <w:rPr>
          <w:rFonts w:ascii="Times New Roman" w:hAnsi="Times New Roman" w:eastAsia="仿宋_GB2312" w:cs="Times New Roman"/>
          <w:color w:val="000000"/>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"_Toc127368197"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仿宋_GB2312" w:cs="Times New Roman"/>
          <w:b/>
          <w:bCs/>
          <w:color w:val="000000"/>
          <w:kern w:val="2"/>
          <w:sz w:val="28"/>
          <w:szCs w:val="28"/>
          <w:u w:val="single"/>
          <w:lang w:val="en-US" w:eastAsia="zh-CN" w:bidi="ar-SA"/>
        </w:rPr>
        <w:t>三、</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b/>
          <w:bCs/>
          <w:color w:val="000000"/>
          <w:kern w:val="2"/>
          <w:sz w:val="28"/>
          <w:szCs w:val="28"/>
          <w:u w:val="single"/>
          <w:lang w:val="en-US" w:eastAsia="zh-CN" w:bidi="ar-SA"/>
        </w:rPr>
        <w:t>评估范围</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color w:val="000000"/>
          <w:kern w:val="2"/>
          <w:sz w:val="28"/>
          <w:szCs w:val="28"/>
          <w:lang w:val="en-US" w:eastAsia="zh-CN" w:bidi="ar-SA"/>
        </w:rPr>
        <w:fldChar w:fldCharType="begin"/>
      </w:r>
      <w:r>
        <w:rPr>
          <w:rFonts w:ascii="Times New Roman" w:hAnsi="Times New Roman" w:eastAsia="仿宋_GB2312" w:cs="Times New Roman"/>
          <w:color w:val="000000"/>
          <w:kern w:val="2"/>
          <w:sz w:val="28"/>
          <w:szCs w:val="28"/>
          <w:lang w:val="en-US" w:eastAsia="zh-CN" w:bidi="ar-SA"/>
        </w:rPr>
        <w:instrText xml:space="preserve"> PAGEREF _Toc127368197 \h </w:instrText>
      </w:r>
      <w:r>
        <w:rPr>
          <w:rFonts w:ascii="Times New Roman" w:hAnsi="Times New Roman" w:eastAsia="仿宋_GB2312" w:cs="Times New Roman"/>
          <w:color w:val="000000"/>
          <w:kern w:val="2"/>
          <w:sz w:val="28"/>
          <w:szCs w:val="28"/>
          <w:lang w:val="en-US" w:eastAsia="zh-CN" w:bidi="ar-SA"/>
        </w:rPr>
        <w:fldChar w:fldCharType="separate"/>
      </w:r>
      <w:r>
        <w:rPr>
          <w:rFonts w:ascii="Times New Roman" w:hAnsi="Times New Roman" w:eastAsia="仿宋_GB2312" w:cs="Times New Roman"/>
          <w:color w:val="000000"/>
          <w:kern w:val="2"/>
          <w:sz w:val="28"/>
          <w:szCs w:val="28"/>
          <w:lang w:val="en-US" w:eastAsia="zh-CN" w:bidi="ar-SA"/>
        </w:rPr>
        <w:t>5</w:t>
      </w:r>
      <w:r>
        <w:rPr>
          <w:rFonts w:ascii="Times New Roman" w:hAnsi="Times New Roman" w:eastAsia="仿宋_GB2312" w:cs="Times New Roman"/>
          <w:color w:val="000000"/>
          <w:kern w:val="2"/>
          <w:sz w:val="28"/>
          <w:szCs w:val="28"/>
          <w:lang w:val="en-US" w:eastAsia="zh-CN" w:bidi="ar-SA"/>
        </w:rPr>
        <w:fldChar w:fldCharType="end"/>
      </w:r>
      <w:r>
        <w:rPr>
          <w:rFonts w:ascii="Times New Roman" w:hAnsi="Times New Roman" w:eastAsia="仿宋_GB2312" w:cs="Times New Roman"/>
          <w:color w:val="000000"/>
          <w:kern w:val="2"/>
          <w:sz w:val="28"/>
          <w:szCs w:val="28"/>
          <w:lang w:val="en-US" w:eastAsia="zh-CN" w:bidi="ar-SA"/>
        </w:rPr>
        <w:fldChar w:fldCharType="end"/>
      </w:r>
    </w:p>
    <w:p>
      <w:pPr>
        <w:widowControl w:val="0"/>
        <w:tabs>
          <w:tab w:val="right" w:leader="dot" w:pos="8296"/>
        </w:tabs>
        <w:ind w:left="420" w:leftChars="200"/>
        <w:jc w:val="both"/>
        <w:rPr>
          <w:rFonts w:ascii="Times New Roman" w:hAnsi="Times New Roman" w:eastAsia="仿宋_GB2312" w:cs="Times New Roman"/>
          <w:color w:val="000000"/>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"_Toc127368198"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仿宋_GB2312" w:cs="Times New Roman"/>
          <w:color w:val="000000"/>
          <w:kern w:val="2"/>
          <w:sz w:val="28"/>
          <w:szCs w:val="28"/>
          <w:u w:val="single"/>
          <w:lang w:val="en-US" w:eastAsia="zh-CN" w:bidi="ar-SA"/>
        </w:rPr>
        <w:t>（一）政府网站</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color w:val="000000"/>
          <w:kern w:val="2"/>
          <w:sz w:val="28"/>
          <w:szCs w:val="28"/>
          <w:lang w:val="en-US" w:eastAsia="zh-CN" w:bidi="ar-SA"/>
        </w:rPr>
        <w:fldChar w:fldCharType="begin"/>
      </w:r>
      <w:r>
        <w:rPr>
          <w:rFonts w:ascii="Times New Roman" w:hAnsi="Times New Roman" w:eastAsia="仿宋_GB2312" w:cs="Times New Roman"/>
          <w:color w:val="000000"/>
          <w:kern w:val="2"/>
          <w:sz w:val="28"/>
          <w:szCs w:val="28"/>
          <w:lang w:val="en-US" w:eastAsia="zh-CN" w:bidi="ar-SA"/>
        </w:rPr>
        <w:instrText xml:space="preserve"> PAGEREF _Toc127368198 \h </w:instrText>
      </w:r>
      <w:r>
        <w:rPr>
          <w:rFonts w:ascii="Times New Roman" w:hAnsi="Times New Roman" w:eastAsia="仿宋_GB2312" w:cs="Times New Roman"/>
          <w:color w:val="000000"/>
          <w:kern w:val="2"/>
          <w:sz w:val="28"/>
          <w:szCs w:val="28"/>
          <w:lang w:val="en-US" w:eastAsia="zh-CN" w:bidi="ar-SA"/>
        </w:rPr>
        <w:fldChar w:fldCharType="separate"/>
      </w:r>
      <w:r>
        <w:rPr>
          <w:rFonts w:ascii="Times New Roman" w:hAnsi="Times New Roman" w:eastAsia="仿宋_GB2312" w:cs="Times New Roman"/>
          <w:color w:val="000000"/>
          <w:kern w:val="2"/>
          <w:sz w:val="28"/>
          <w:szCs w:val="28"/>
          <w:lang w:val="en-US" w:eastAsia="zh-CN" w:bidi="ar-SA"/>
        </w:rPr>
        <w:t>5</w:t>
      </w:r>
      <w:r>
        <w:rPr>
          <w:rFonts w:ascii="Times New Roman" w:hAnsi="Times New Roman" w:eastAsia="仿宋_GB2312" w:cs="Times New Roman"/>
          <w:color w:val="000000"/>
          <w:kern w:val="2"/>
          <w:sz w:val="28"/>
          <w:szCs w:val="28"/>
          <w:lang w:val="en-US" w:eastAsia="zh-CN" w:bidi="ar-SA"/>
        </w:rPr>
        <w:fldChar w:fldCharType="end"/>
      </w:r>
      <w:r>
        <w:rPr>
          <w:rFonts w:ascii="Times New Roman" w:hAnsi="Times New Roman" w:eastAsia="仿宋_GB2312" w:cs="Times New Roman"/>
          <w:color w:val="000000"/>
          <w:kern w:val="2"/>
          <w:sz w:val="28"/>
          <w:szCs w:val="28"/>
          <w:lang w:val="en-US" w:eastAsia="zh-CN" w:bidi="ar-SA"/>
        </w:rPr>
        <w:fldChar w:fldCharType="end"/>
      </w:r>
    </w:p>
    <w:p>
      <w:pPr>
        <w:widowControl w:val="0"/>
        <w:tabs>
          <w:tab w:val="right" w:leader="dot" w:pos="8296"/>
        </w:tabs>
        <w:ind w:left="420" w:leftChars="200"/>
        <w:jc w:val="both"/>
        <w:rPr>
          <w:rFonts w:ascii="Times New Roman" w:hAnsi="Times New Roman" w:eastAsia="仿宋_GB2312" w:cs="Times New Roman"/>
          <w:color w:val="000000"/>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"_Toc127368199"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仿宋_GB2312" w:cs="Times New Roman"/>
          <w:color w:val="000000"/>
          <w:kern w:val="2"/>
          <w:sz w:val="28"/>
          <w:szCs w:val="28"/>
          <w:u w:val="single"/>
          <w:lang w:val="en-US" w:eastAsia="zh-CN" w:bidi="ar-SA"/>
        </w:rPr>
        <w:t>（二）政务新媒体</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color w:val="000000"/>
          <w:kern w:val="2"/>
          <w:sz w:val="28"/>
          <w:szCs w:val="28"/>
          <w:lang w:val="en-US" w:eastAsia="zh-CN" w:bidi="ar-SA"/>
        </w:rPr>
        <w:fldChar w:fldCharType="begin"/>
      </w:r>
      <w:r>
        <w:rPr>
          <w:rFonts w:ascii="Times New Roman" w:hAnsi="Times New Roman" w:eastAsia="仿宋_GB2312" w:cs="Times New Roman"/>
          <w:color w:val="000000"/>
          <w:kern w:val="2"/>
          <w:sz w:val="28"/>
          <w:szCs w:val="28"/>
          <w:lang w:val="en-US" w:eastAsia="zh-CN" w:bidi="ar-SA"/>
        </w:rPr>
        <w:instrText xml:space="preserve"> PAGEREF _Toc127368199 \h </w:instrText>
      </w:r>
      <w:r>
        <w:rPr>
          <w:rFonts w:ascii="Times New Roman" w:hAnsi="Times New Roman" w:eastAsia="仿宋_GB2312" w:cs="Times New Roman"/>
          <w:color w:val="000000"/>
          <w:kern w:val="2"/>
          <w:sz w:val="28"/>
          <w:szCs w:val="28"/>
          <w:lang w:val="en-US" w:eastAsia="zh-CN" w:bidi="ar-SA"/>
        </w:rPr>
        <w:fldChar w:fldCharType="separate"/>
      </w:r>
      <w:r>
        <w:rPr>
          <w:rFonts w:ascii="Times New Roman" w:hAnsi="Times New Roman" w:eastAsia="仿宋_GB2312" w:cs="Times New Roman"/>
          <w:color w:val="000000"/>
          <w:kern w:val="2"/>
          <w:sz w:val="28"/>
          <w:szCs w:val="28"/>
          <w:lang w:val="en-US" w:eastAsia="zh-CN" w:bidi="ar-SA"/>
        </w:rPr>
        <w:t>5</w:t>
      </w:r>
      <w:r>
        <w:rPr>
          <w:rFonts w:ascii="Times New Roman" w:hAnsi="Times New Roman" w:eastAsia="仿宋_GB2312" w:cs="Times New Roman"/>
          <w:color w:val="000000"/>
          <w:kern w:val="2"/>
          <w:sz w:val="28"/>
          <w:szCs w:val="28"/>
          <w:lang w:val="en-US" w:eastAsia="zh-CN" w:bidi="ar-SA"/>
        </w:rPr>
        <w:fldChar w:fldCharType="end"/>
      </w:r>
      <w:r>
        <w:rPr>
          <w:rFonts w:ascii="Times New Roman" w:hAnsi="Times New Roman" w:eastAsia="仿宋_GB2312" w:cs="Times New Roman"/>
          <w:color w:val="000000"/>
          <w:kern w:val="2"/>
          <w:sz w:val="28"/>
          <w:szCs w:val="28"/>
          <w:lang w:val="en-US" w:eastAsia="zh-CN" w:bidi="ar-SA"/>
        </w:rPr>
        <w:fldChar w:fldCharType="end"/>
      </w:r>
    </w:p>
    <w:p>
      <w:pPr>
        <w:widowControl w:val="0"/>
        <w:tabs>
          <w:tab w:val="left" w:pos="840"/>
          <w:tab w:val="right" w:leader="dot" w:pos="8296"/>
        </w:tabs>
        <w:jc w:val="both"/>
        <w:rPr>
          <w:rFonts w:ascii="Times New Roman" w:hAnsi="Times New Roman" w:eastAsia="仿宋_GB2312" w:cs="Times New Roman"/>
          <w:color w:val="000000"/>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"_Toc127368200"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仿宋_GB2312" w:cs="Times New Roman"/>
          <w:b/>
          <w:bCs/>
          <w:color w:val="000000"/>
          <w:kern w:val="2"/>
          <w:sz w:val="28"/>
          <w:szCs w:val="28"/>
          <w:u w:val="single"/>
          <w:lang w:val="en-US" w:eastAsia="zh-CN" w:bidi="ar-SA"/>
        </w:rPr>
        <w:t>四、</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b/>
          <w:bCs/>
          <w:color w:val="000000"/>
          <w:kern w:val="2"/>
          <w:sz w:val="28"/>
          <w:szCs w:val="28"/>
          <w:u w:val="single"/>
          <w:lang w:val="en-US" w:eastAsia="zh-CN" w:bidi="ar-SA"/>
        </w:rPr>
        <w:t>评估思路</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color w:val="000000"/>
          <w:kern w:val="2"/>
          <w:sz w:val="28"/>
          <w:szCs w:val="28"/>
          <w:lang w:val="en-US" w:eastAsia="zh-CN" w:bidi="ar-SA"/>
        </w:rPr>
        <w:fldChar w:fldCharType="begin"/>
      </w:r>
      <w:r>
        <w:rPr>
          <w:rFonts w:ascii="Times New Roman" w:hAnsi="Times New Roman" w:eastAsia="仿宋_GB2312" w:cs="Times New Roman"/>
          <w:color w:val="000000"/>
          <w:kern w:val="2"/>
          <w:sz w:val="28"/>
          <w:szCs w:val="28"/>
          <w:lang w:val="en-US" w:eastAsia="zh-CN" w:bidi="ar-SA"/>
        </w:rPr>
        <w:instrText xml:space="preserve"> PAGEREF _Toc127368200 \h </w:instrText>
      </w:r>
      <w:r>
        <w:rPr>
          <w:rFonts w:ascii="Times New Roman" w:hAnsi="Times New Roman" w:eastAsia="仿宋_GB2312" w:cs="Times New Roman"/>
          <w:color w:val="000000"/>
          <w:kern w:val="2"/>
          <w:sz w:val="28"/>
          <w:szCs w:val="28"/>
          <w:lang w:val="en-US" w:eastAsia="zh-CN" w:bidi="ar-SA"/>
        </w:rPr>
        <w:fldChar w:fldCharType="separate"/>
      </w:r>
      <w:r>
        <w:rPr>
          <w:rFonts w:ascii="Times New Roman" w:hAnsi="Times New Roman" w:eastAsia="仿宋_GB2312" w:cs="Times New Roman"/>
          <w:color w:val="000000"/>
          <w:kern w:val="2"/>
          <w:sz w:val="28"/>
          <w:szCs w:val="28"/>
          <w:lang w:val="en-US" w:eastAsia="zh-CN" w:bidi="ar-SA"/>
        </w:rPr>
        <w:t>7</w:t>
      </w:r>
      <w:r>
        <w:rPr>
          <w:rFonts w:ascii="Times New Roman" w:hAnsi="Times New Roman" w:eastAsia="仿宋_GB2312" w:cs="Times New Roman"/>
          <w:color w:val="000000"/>
          <w:kern w:val="2"/>
          <w:sz w:val="28"/>
          <w:szCs w:val="28"/>
          <w:lang w:val="en-US" w:eastAsia="zh-CN" w:bidi="ar-SA"/>
        </w:rPr>
        <w:fldChar w:fldCharType="end"/>
      </w:r>
      <w:r>
        <w:rPr>
          <w:rFonts w:ascii="Times New Roman" w:hAnsi="Times New Roman" w:eastAsia="仿宋_GB2312" w:cs="Times New Roman"/>
          <w:color w:val="000000"/>
          <w:kern w:val="2"/>
          <w:sz w:val="28"/>
          <w:szCs w:val="28"/>
          <w:lang w:val="en-US" w:eastAsia="zh-CN" w:bidi="ar-SA"/>
        </w:rPr>
        <w:fldChar w:fldCharType="end"/>
      </w:r>
    </w:p>
    <w:p>
      <w:pPr>
        <w:widowControl w:val="0"/>
        <w:tabs>
          <w:tab w:val="left" w:pos="840"/>
          <w:tab w:val="right" w:leader="dot" w:pos="8296"/>
        </w:tabs>
        <w:jc w:val="both"/>
        <w:rPr>
          <w:rFonts w:ascii="Times New Roman" w:hAnsi="Times New Roman" w:eastAsia="仿宋_GB2312" w:cs="Times New Roman"/>
          <w:color w:val="000000"/>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"_Toc127368201"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仿宋_GB2312" w:cs="Times New Roman"/>
          <w:b/>
          <w:bCs/>
          <w:color w:val="000000"/>
          <w:kern w:val="2"/>
          <w:sz w:val="28"/>
          <w:szCs w:val="28"/>
          <w:u w:val="single"/>
          <w:lang w:val="en-US" w:eastAsia="zh-CN" w:bidi="ar-SA"/>
        </w:rPr>
        <w:t>五、</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b/>
          <w:bCs/>
          <w:color w:val="000000"/>
          <w:kern w:val="2"/>
          <w:sz w:val="28"/>
          <w:szCs w:val="28"/>
          <w:u w:val="single"/>
          <w:lang w:val="en-US" w:eastAsia="zh-CN" w:bidi="ar-SA"/>
        </w:rPr>
        <w:t>工作安排</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color w:val="000000"/>
          <w:kern w:val="2"/>
          <w:sz w:val="28"/>
          <w:szCs w:val="28"/>
          <w:lang w:val="en-US" w:eastAsia="zh-CN" w:bidi="ar-SA"/>
        </w:rPr>
        <w:fldChar w:fldCharType="begin"/>
      </w:r>
      <w:r>
        <w:rPr>
          <w:rFonts w:ascii="Times New Roman" w:hAnsi="Times New Roman" w:eastAsia="仿宋_GB2312" w:cs="Times New Roman"/>
          <w:color w:val="000000"/>
          <w:kern w:val="2"/>
          <w:sz w:val="28"/>
          <w:szCs w:val="28"/>
          <w:lang w:val="en-US" w:eastAsia="zh-CN" w:bidi="ar-SA"/>
        </w:rPr>
        <w:instrText xml:space="preserve"> PAGEREF _Toc127368201 \h </w:instrText>
      </w:r>
      <w:r>
        <w:rPr>
          <w:rFonts w:ascii="Times New Roman" w:hAnsi="Times New Roman" w:eastAsia="仿宋_GB2312" w:cs="Times New Roman"/>
          <w:color w:val="000000"/>
          <w:kern w:val="2"/>
          <w:sz w:val="28"/>
          <w:szCs w:val="28"/>
          <w:lang w:val="en-US" w:eastAsia="zh-CN" w:bidi="ar-SA"/>
        </w:rPr>
        <w:fldChar w:fldCharType="separate"/>
      </w:r>
      <w:r>
        <w:rPr>
          <w:rFonts w:ascii="Times New Roman" w:hAnsi="Times New Roman" w:eastAsia="仿宋_GB2312" w:cs="Times New Roman"/>
          <w:color w:val="000000"/>
          <w:kern w:val="2"/>
          <w:sz w:val="28"/>
          <w:szCs w:val="28"/>
          <w:lang w:val="en-US" w:eastAsia="zh-CN" w:bidi="ar-SA"/>
        </w:rPr>
        <w:t>7</w:t>
      </w:r>
      <w:r>
        <w:rPr>
          <w:rFonts w:ascii="Times New Roman" w:hAnsi="Times New Roman" w:eastAsia="仿宋_GB2312" w:cs="Times New Roman"/>
          <w:color w:val="000000"/>
          <w:kern w:val="2"/>
          <w:sz w:val="28"/>
          <w:szCs w:val="28"/>
          <w:lang w:val="en-US" w:eastAsia="zh-CN" w:bidi="ar-SA"/>
        </w:rPr>
        <w:fldChar w:fldCharType="end"/>
      </w:r>
      <w:r>
        <w:rPr>
          <w:rFonts w:ascii="Times New Roman" w:hAnsi="Times New Roman" w:eastAsia="仿宋_GB2312" w:cs="Times New Roman"/>
          <w:color w:val="000000"/>
          <w:kern w:val="2"/>
          <w:sz w:val="28"/>
          <w:szCs w:val="28"/>
          <w:lang w:val="en-US" w:eastAsia="zh-CN" w:bidi="ar-SA"/>
        </w:rPr>
        <w:fldChar w:fldCharType="end"/>
      </w:r>
    </w:p>
    <w:p>
      <w:pPr>
        <w:widowControl w:val="0"/>
        <w:tabs>
          <w:tab w:val="right" w:leader="dot" w:pos="8296"/>
        </w:tabs>
        <w:ind w:left="420" w:leftChars="200"/>
        <w:jc w:val="both"/>
        <w:rPr>
          <w:rFonts w:ascii="Times New Roman" w:hAnsi="Times New Roman" w:eastAsia="仿宋_GB2312" w:cs="Times New Roman"/>
          <w:color w:val="000000"/>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"_Toc127368202"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仿宋_GB2312" w:cs="Times New Roman"/>
          <w:color w:val="000000"/>
          <w:kern w:val="2"/>
          <w:sz w:val="28"/>
          <w:szCs w:val="28"/>
          <w:u w:val="single"/>
          <w:lang w:val="en-US" w:eastAsia="zh-CN" w:bidi="ar-SA"/>
        </w:rPr>
        <w:t>（一）网站优化整改</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color w:val="000000"/>
          <w:kern w:val="2"/>
          <w:sz w:val="28"/>
          <w:szCs w:val="28"/>
          <w:lang w:val="en-US" w:eastAsia="zh-CN" w:bidi="ar-SA"/>
        </w:rPr>
        <w:fldChar w:fldCharType="begin"/>
      </w:r>
      <w:r>
        <w:rPr>
          <w:rFonts w:ascii="Times New Roman" w:hAnsi="Times New Roman" w:eastAsia="仿宋_GB2312" w:cs="Times New Roman"/>
          <w:color w:val="000000"/>
          <w:kern w:val="2"/>
          <w:sz w:val="28"/>
          <w:szCs w:val="28"/>
          <w:lang w:val="en-US" w:eastAsia="zh-CN" w:bidi="ar-SA"/>
        </w:rPr>
        <w:instrText xml:space="preserve"> PAGEREF _Toc127368202 \h </w:instrText>
      </w:r>
      <w:r>
        <w:rPr>
          <w:rFonts w:ascii="Times New Roman" w:hAnsi="Times New Roman" w:eastAsia="仿宋_GB2312" w:cs="Times New Roman"/>
          <w:color w:val="000000"/>
          <w:kern w:val="2"/>
          <w:sz w:val="28"/>
          <w:szCs w:val="28"/>
          <w:lang w:val="en-US" w:eastAsia="zh-CN" w:bidi="ar-SA"/>
        </w:rPr>
        <w:fldChar w:fldCharType="separate"/>
      </w:r>
      <w:r>
        <w:rPr>
          <w:rFonts w:ascii="Times New Roman" w:hAnsi="Times New Roman" w:eastAsia="仿宋_GB2312" w:cs="Times New Roman"/>
          <w:color w:val="000000"/>
          <w:kern w:val="2"/>
          <w:sz w:val="28"/>
          <w:szCs w:val="28"/>
          <w:lang w:val="en-US" w:eastAsia="zh-CN" w:bidi="ar-SA"/>
        </w:rPr>
        <w:t>7</w:t>
      </w:r>
      <w:r>
        <w:rPr>
          <w:rFonts w:ascii="Times New Roman" w:hAnsi="Times New Roman" w:eastAsia="仿宋_GB2312" w:cs="Times New Roman"/>
          <w:color w:val="000000"/>
          <w:kern w:val="2"/>
          <w:sz w:val="28"/>
          <w:szCs w:val="28"/>
          <w:lang w:val="en-US" w:eastAsia="zh-CN" w:bidi="ar-SA"/>
        </w:rPr>
        <w:fldChar w:fldCharType="end"/>
      </w:r>
      <w:r>
        <w:rPr>
          <w:rFonts w:ascii="Times New Roman" w:hAnsi="Times New Roman" w:eastAsia="仿宋_GB2312" w:cs="Times New Roman"/>
          <w:color w:val="000000"/>
          <w:kern w:val="2"/>
          <w:sz w:val="28"/>
          <w:szCs w:val="28"/>
          <w:lang w:val="en-US" w:eastAsia="zh-CN" w:bidi="ar-SA"/>
        </w:rPr>
        <w:fldChar w:fldCharType="end"/>
      </w:r>
    </w:p>
    <w:p>
      <w:pPr>
        <w:widowControl w:val="0"/>
        <w:tabs>
          <w:tab w:val="right" w:leader="dot" w:pos="8296"/>
        </w:tabs>
        <w:ind w:left="420" w:leftChars="200"/>
        <w:jc w:val="both"/>
        <w:rPr>
          <w:rFonts w:ascii="Times New Roman" w:hAnsi="Times New Roman" w:eastAsia="仿宋_GB2312" w:cs="Times New Roman"/>
          <w:color w:val="000000"/>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"_Toc127368203"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仿宋_GB2312" w:cs="Times New Roman"/>
          <w:color w:val="000000"/>
          <w:kern w:val="2"/>
          <w:sz w:val="28"/>
          <w:szCs w:val="28"/>
          <w:u w:val="single"/>
          <w:lang w:val="en-US" w:eastAsia="zh-CN" w:bidi="ar-SA"/>
        </w:rPr>
        <w:t>（二）网站和新媒体预评估</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color w:val="000000"/>
          <w:kern w:val="2"/>
          <w:sz w:val="28"/>
          <w:szCs w:val="28"/>
          <w:lang w:val="en-US" w:eastAsia="zh-CN" w:bidi="ar-SA"/>
        </w:rPr>
        <w:fldChar w:fldCharType="begin"/>
      </w:r>
      <w:r>
        <w:rPr>
          <w:rFonts w:ascii="Times New Roman" w:hAnsi="Times New Roman" w:eastAsia="仿宋_GB2312" w:cs="Times New Roman"/>
          <w:color w:val="000000"/>
          <w:kern w:val="2"/>
          <w:sz w:val="28"/>
          <w:szCs w:val="28"/>
          <w:lang w:val="en-US" w:eastAsia="zh-CN" w:bidi="ar-SA"/>
        </w:rPr>
        <w:instrText xml:space="preserve"> PAGEREF _Toc127368203 \h </w:instrText>
      </w:r>
      <w:r>
        <w:rPr>
          <w:rFonts w:ascii="Times New Roman" w:hAnsi="Times New Roman" w:eastAsia="仿宋_GB2312" w:cs="Times New Roman"/>
          <w:color w:val="000000"/>
          <w:kern w:val="2"/>
          <w:sz w:val="28"/>
          <w:szCs w:val="28"/>
          <w:lang w:val="en-US" w:eastAsia="zh-CN" w:bidi="ar-SA"/>
        </w:rPr>
        <w:fldChar w:fldCharType="separate"/>
      </w:r>
      <w:r>
        <w:rPr>
          <w:rFonts w:ascii="Times New Roman" w:hAnsi="Times New Roman" w:eastAsia="仿宋_GB2312" w:cs="Times New Roman"/>
          <w:color w:val="000000"/>
          <w:kern w:val="2"/>
          <w:sz w:val="28"/>
          <w:szCs w:val="28"/>
          <w:lang w:val="en-US" w:eastAsia="zh-CN" w:bidi="ar-SA"/>
        </w:rPr>
        <w:t>7</w:t>
      </w:r>
      <w:r>
        <w:rPr>
          <w:rFonts w:ascii="Times New Roman" w:hAnsi="Times New Roman" w:eastAsia="仿宋_GB2312" w:cs="Times New Roman"/>
          <w:color w:val="000000"/>
          <w:kern w:val="2"/>
          <w:sz w:val="28"/>
          <w:szCs w:val="28"/>
          <w:lang w:val="en-US" w:eastAsia="zh-CN" w:bidi="ar-SA"/>
        </w:rPr>
        <w:fldChar w:fldCharType="end"/>
      </w:r>
      <w:r>
        <w:rPr>
          <w:rFonts w:ascii="Times New Roman" w:hAnsi="Times New Roman" w:eastAsia="仿宋_GB2312" w:cs="Times New Roman"/>
          <w:color w:val="000000"/>
          <w:kern w:val="2"/>
          <w:sz w:val="28"/>
          <w:szCs w:val="28"/>
          <w:lang w:val="en-US" w:eastAsia="zh-CN" w:bidi="ar-SA"/>
        </w:rPr>
        <w:fldChar w:fldCharType="end"/>
      </w:r>
    </w:p>
    <w:p>
      <w:pPr>
        <w:widowControl w:val="0"/>
        <w:tabs>
          <w:tab w:val="right" w:leader="dot" w:pos="8296"/>
        </w:tabs>
        <w:ind w:left="420" w:leftChars="200"/>
        <w:jc w:val="both"/>
        <w:rPr>
          <w:rFonts w:ascii="Times New Roman" w:hAnsi="Times New Roman" w:eastAsia="仿宋_GB2312" w:cs="Times New Roman"/>
          <w:color w:val="000000"/>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"_Toc127368204"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仿宋_GB2312" w:cs="Times New Roman"/>
          <w:color w:val="000000"/>
          <w:kern w:val="2"/>
          <w:sz w:val="28"/>
          <w:szCs w:val="28"/>
          <w:u w:val="single"/>
          <w:lang w:val="en-US" w:eastAsia="zh-CN" w:bidi="ar-SA"/>
        </w:rPr>
        <w:t>（三）网站和新媒体检查结果复核</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color w:val="000000"/>
          <w:kern w:val="2"/>
          <w:sz w:val="28"/>
          <w:szCs w:val="28"/>
          <w:lang w:val="en-US" w:eastAsia="zh-CN" w:bidi="ar-SA"/>
        </w:rPr>
        <w:fldChar w:fldCharType="begin"/>
      </w:r>
      <w:r>
        <w:rPr>
          <w:rFonts w:ascii="Times New Roman" w:hAnsi="Times New Roman" w:eastAsia="仿宋_GB2312" w:cs="Times New Roman"/>
          <w:color w:val="000000"/>
          <w:kern w:val="2"/>
          <w:sz w:val="28"/>
          <w:szCs w:val="28"/>
          <w:lang w:val="en-US" w:eastAsia="zh-CN" w:bidi="ar-SA"/>
        </w:rPr>
        <w:instrText xml:space="preserve"> PAGEREF _Toc127368204 \h </w:instrText>
      </w:r>
      <w:r>
        <w:rPr>
          <w:rFonts w:ascii="Times New Roman" w:hAnsi="Times New Roman" w:eastAsia="仿宋_GB2312" w:cs="Times New Roman"/>
          <w:color w:val="000000"/>
          <w:kern w:val="2"/>
          <w:sz w:val="28"/>
          <w:szCs w:val="28"/>
          <w:lang w:val="en-US" w:eastAsia="zh-CN" w:bidi="ar-SA"/>
        </w:rPr>
        <w:fldChar w:fldCharType="separate"/>
      </w:r>
      <w:r>
        <w:rPr>
          <w:rFonts w:ascii="Times New Roman" w:hAnsi="Times New Roman" w:eastAsia="仿宋_GB2312" w:cs="Times New Roman"/>
          <w:color w:val="000000"/>
          <w:kern w:val="2"/>
          <w:sz w:val="28"/>
          <w:szCs w:val="28"/>
          <w:lang w:val="en-US" w:eastAsia="zh-CN" w:bidi="ar-SA"/>
        </w:rPr>
        <w:t>8</w:t>
      </w:r>
      <w:r>
        <w:rPr>
          <w:rFonts w:ascii="Times New Roman" w:hAnsi="Times New Roman" w:eastAsia="仿宋_GB2312" w:cs="Times New Roman"/>
          <w:color w:val="000000"/>
          <w:kern w:val="2"/>
          <w:sz w:val="28"/>
          <w:szCs w:val="28"/>
          <w:lang w:val="en-US" w:eastAsia="zh-CN" w:bidi="ar-SA"/>
        </w:rPr>
        <w:fldChar w:fldCharType="end"/>
      </w:r>
      <w:r>
        <w:rPr>
          <w:rFonts w:ascii="Times New Roman" w:hAnsi="Times New Roman" w:eastAsia="仿宋_GB2312" w:cs="Times New Roman"/>
          <w:color w:val="000000"/>
          <w:kern w:val="2"/>
          <w:sz w:val="28"/>
          <w:szCs w:val="28"/>
          <w:lang w:val="en-US" w:eastAsia="zh-CN" w:bidi="ar-SA"/>
        </w:rPr>
        <w:fldChar w:fldCharType="end"/>
      </w:r>
    </w:p>
    <w:p>
      <w:pPr>
        <w:widowControl w:val="0"/>
        <w:tabs>
          <w:tab w:val="right" w:leader="dot" w:pos="8296"/>
        </w:tabs>
        <w:ind w:left="420" w:leftChars="200"/>
        <w:jc w:val="both"/>
        <w:rPr>
          <w:rFonts w:ascii="Times New Roman" w:hAnsi="Times New Roman" w:eastAsia="仿宋_GB2312" w:cs="Times New Roman"/>
          <w:color w:val="000000"/>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"_Toc127368205"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仿宋_GB2312" w:cs="Times New Roman"/>
          <w:color w:val="000000"/>
          <w:kern w:val="2"/>
          <w:sz w:val="28"/>
          <w:szCs w:val="28"/>
          <w:u w:val="single"/>
          <w:lang w:val="en-US" w:eastAsia="zh-CN" w:bidi="ar-SA"/>
        </w:rPr>
        <w:t>（四）综合评估</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color w:val="000000"/>
          <w:kern w:val="2"/>
          <w:sz w:val="28"/>
          <w:szCs w:val="28"/>
          <w:lang w:val="en-US" w:eastAsia="zh-CN" w:bidi="ar-SA"/>
        </w:rPr>
        <w:fldChar w:fldCharType="begin"/>
      </w:r>
      <w:r>
        <w:rPr>
          <w:rFonts w:ascii="Times New Roman" w:hAnsi="Times New Roman" w:eastAsia="仿宋_GB2312" w:cs="Times New Roman"/>
          <w:color w:val="000000"/>
          <w:kern w:val="2"/>
          <w:sz w:val="28"/>
          <w:szCs w:val="28"/>
          <w:lang w:val="en-US" w:eastAsia="zh-CN" w:bidi="ar-SA"/>
        </w:rPr>
        <w:instrText xml:space="preserve"> PAGEREF _Toc127368205 \h </w:instrText>
      </w:r>
      <w:r>
        <w:rPr>
          <w:rFonts w:ascii="Times New Roman" w:hAnsi="Times New Roman" w:eastAsia="仿宋_GB2312" w:cs="Times New Roman"/>
          <w:color w:val="000000"/>
          <w:kern w:val="2"/>
          <w:sz w:val="28"/>
          <w:szCs w:val="28"/>
          <w:lang w:val="en-US" w:eastAsia="zh-CN" w:bidi="ar-SA"/>
        </w:rPr>
        <w:fldChar w:fldCharType="separate"/>
      </w:r>
      <w:r>
        <w:rPr>
          <w:rFonts w:ascii="Times New Roman" w:hAnsi="Times New Roman" w:eastAsia="仿宋_GB2312" w:cs="Times New Roman"/>
          <w:color w:val="000000"/>
          <w:kern w:val="2"/>
          <w:sz w:val="28"/>
          <w:szCs w:val="28"/>
          <w:lang w:val="en-US" w:eastAsia="zh-CN" w:bidi="ar-SA"/>
        </w:rPr>
        <w:t>8</w:t>
      </w:r>
      <w:r>
        <w:rPr>
          <w:rFonts w:ascii="Times New Roman" w:hAnsi="Times New Roman" w:eastAsia="仿宋_GB2312" w:cs="Times New Roman"/>
          <w:color w:val="000000"/>
          <w:kern w:val="2"/>
          <w:sz w:val="28"/>
          <w:szCs w:val="28"/>
          <w:lang w:val="en-US" w:eastAsia="zh-CN" w:bidi="ar-SA"/>
        </w:rPr>
        <w:fldChar w:fldCharType="end"/>
      </w:r>
      <w:r>
        <w:rPr>
          <w:rFonts w:ascii="Times New Roman" w:hAnsi="Times New Roman" w:eastAsia="仿宋_GB2312" w:cs="Times New Roman"/>
          <w:color w:val="000000"/>
          <w:kern w:val="2"/>
          <w:sz w:val="28"/>
          <w:szCs w:val="28"/>
          <w:lang w:val="en-US" w:eastAsia="zh-CN" w:bidi="ar-SA"/>
        </w:rPr>
        <w:fldChar w:fldCharType="end"/>
      </w:r>
    </w:p>
    <w:p>
      <w:pPr>
        <w:widowControl w:val="0"/>
        <w:tabs>
          <w:tab w:val="left" w:pos="840"/>
          <w:tab w:val="right" w:leader="dot" w:pos="8296"/>
        </w:tabs>
        <w:jc w:val="both"/>
        <w:rPr>
          <w:rFonts w:ascii="Times New Roman" w:hAnsi="Times New Roman" w:eastAsia="仿宋_GB2312" w:cs="Times New Roman"/>
          <w:color w:val="000000"/>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"_Toc127368206"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仿宋_GB2312" w:cs="Times New Roman"/>
          <w:b/>
          <w:bCs/>
          <w:color w:val="000000"/>
          <w:kern w:val="2"/>
          <w:sz w:val="28"/>
          <w:szCs w:val="28"/>
          <w:u w:val="single"/>
          <w:lang w:val="en-US" w:eastAsia="zh-CN" w:bidi="ar-SA"/>
        </w:rPr>
        <w:t>六、</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b/>
          <w:bCs/>
          <w:color w:val="000000"/>
          <w:kern w:val="2"/>
          <w:sz w:val="28"/>
          <w:szCs w:val="28"/>
          <w:u w:val="single"/>
          <w:lang w:val="en-US" w:eastAsia="zh-CN" w:bidi="ar-SA"/>
        </w:rPr>
        <w:t>评估指标</w:t>
      </w:r>
      <w:r>
        <w:rPr>
          <w:rFonts w:ascii="Times New Roman" w:hAnsi="Times New Roman" w:eastAsia="仿宋_GB2312" w:cs="Times New Roman"/>
          <w:color w:val="000000"/>
          <w:kern w:val="2"/>
          <w:sz w:val="28"/>
          <w:szCs w:val="28"/>
          <w:lang w:val="en-US" w:eastAsia="zh-CN" w:bidi="ar-SA"/>
        </w:rPr>
        <w:tab/>
      </w:r>
      <w:r>
        <w:rPr>
          <w:rFonts w:ascii="Times New Roman" w:hAnsi="Times New Roman" w:eastAsia="仿宋_GB2312" w:cs="Times New Roman"/>
          <w:color w:val="000000"/>
          <w:kern w:val="2"/>
          <w:sz w:val="28"/>
          <w:szCs w:val="28"/>
          <w:lang w:val="en-US" w:eastAsia="zh-CN" w:bidi="ar-SA"/>
        </w:rPr>
        <w:fldChar w:fldCharType="begin"/>
      </w:r>
      <w:r>
        <w:rPr>
          <w:rFonts w:ascii="Times New Roman" w:hAnsi="Times New Roman" w:eastAsia="仿宋_GB2312" w:cs="Times New Roman"/>
          <w:color w:val="000000"/>
          <w:kern w:val="2"/>
          <w:sz w:val="28"/>
          <w:szCs w:val="28"/>
          <w:lang w:val="en-US" w:eastAsia="zh-CN" w:bidi="ar-SA"/>
        </w:rPr>
        <w:instrText xml:space="preserve"> PAGEREF _Toc127368206 \h </w:instrText>
      </w:r>
      <w:r>
        <w:rPr>
          <w:rFonts w:ascii="Times New Roman" w:hAnsi="Times New Roman" w:eastAsia="仿宋_GB2312" w:cs="Times New Roman"/>
          <w:color w:val="000000"/>
          <w:kern w:val="2"/>
          <w:sz w:val="28"/>
          <w:szCs w:val="28"/>
          <w:lang w:val="en-US" w:eastAsia="zh-CN" w:bidi="ar-SA"/>
        </w:rPr>
        <w:fldChar w:fldCharType="separate"/>
      </w:r>
      <w:r>
        <w:rPr>
          <w:rFonts w:ascii="Times New Roman" w:hAnsi="Times New Roman" w:eastAsia="仿宋_GB2312" w:cs="Times New Roman"/>
          <w:color w:val="000000"/>
          <w:kern w:val="2"/>
          <w:sz w:val="28"/>
          <w:szCs w:val="28"/>
          <w:lang w:val="en-US" w:eastAsia="zh-CN" w:bidi="ar-SA"/>
        </w:rPr>
        <w:t>8</w:t>
      </w:r>
      <w:r>
        <w:rPr>
          <w:rFonts w:ascii="Times New Roman" w:hAnsi="Times New Roman" w:eastAsia="仿宋_GB2312" w:cs="Times New Roman"/>
          <w:color w:val="000000"/>
          <w:kern w:val="2"/>
          <w:sz w:val="28"/>
          <w:szCs w:val="28"/>
          <w:lang w:val="en-US" w:eastAsia="zh-CN" w:bidi="ar-SA"/>
        </w:rPr>
        <w:fldChar w:fldCharType="end"/>
      </w:r>
      <w:r>
        <w:rPr>
          <w:rFonts w:ascii="Times New Roman" w:hAnsi="Times New Roman" w:eastAsia="仿宋_GB2312" w:cs="Times New Roman"/>
          <w:color w:val="000000"/>
          <w:kern w:val="2"/>
          <w:sz w:val="28"/>
          <w:szCs w:val="28"/>
          <w:lang w:val="en-US" w:eastAsia="zh-CN" w:bidi="ar-SA"/>
        </w:rPr>
        <w:fldChar w:fldCharType="end"/>
      </w:r>
    </w:p>
    <w:p>
      <w:pPr>
        <w:spacing w:before="312" w:beforeLines="100" w:after="312" w:afterLines="100"/>
        <w:jc w:val="center"/>
        <w:rPr>
          <w:rFonts w:ascii="黑体" w:hAnsi="黑体" w:eastAsia="黑体"/>
          <w:color w:val="000000"/>
          <w:sz w:val="36"/>
          <w:szCs w:val="36"/>
        </w:rPr>
      </w:pPr>
      <w:r>
        <w:rPr>
          <w:rFonts w:ascii="Times New Roman" w:hAnsi="Times New Roman" w:eastAsia="仿宋_GB2312" w:cs="Times New Roman"/>
          <w:color w:val="000000"/>
          <w:sz w:val="28"/>
          <w:szCs w:val="28"/>
        </w:rPr>
        <w:fldChar w:fldCharType="end"/>
      </w:r>
    </w:p>
    <w:p>
      <w:pPr>
        <w:spacing w:before="312" w:beforeLines="100" w:after="312" w:afterLines="100"/>
        <w:jc w:val="center"/>
        <w:rPr>
          <w:rFonts w:ascii="黑体" w:hAnsi="黑体" w:eastAsia="黑体"/>
          <w:color w:val="000000"/>
          <w:sz w:val="36"/>
          <w:szCs w:val="36"/>
        </w:rPr>
      </w:pPr>
    </w:p>
    <w:p>
      <w:pPr>
        <w:spacing w:before="312" w:beforeLines="100" w:after="312" w:afterLines="100"/>
        <w:jc w:val="center"/>
        <w:rPr>
          <w:rFonts w:ascii="黑体" w:hAnsi="黑体" w:eastAsia="黑体"/>
          <w:color w:val="000000"/>
          <w:sz w:val="36"/>
          <w:szCs w:val="36"/>
        </w:rPr>
      </w:pPr>
    </w:p>
    <w:p>
      <w:pPr>
        <w:spacing w:before="312" w:beforeLines="100" w:after="312" w:afterLines="100"/>
        <w:jc w:val="center"/>
        <w:rPr>
          <w:rFonts w:ascii="黑体" w:hAnsi="黑体" w:eastAsia="黑体"/>
          <w:color w:val="000000"/>
          <w:sz w:val="36"/>
          <w:szCs w:val="36"/>
        </w:rPr>
      </w:pPr>
    </w:p>
    <w:p>
      <w:pPr>
        <w:widowControl/>
        <w:jc w:val="left"/>
        <w:rPr>
          <w:rFonts w:ascii="黑体" w:hAnsi="黑体" w:eastAsia="黑体"/>
          <w:color w:val="000000"/>
          <w:sz w:val="36"/>
          <w:szCs w:val="36"/>
        </w:rPr>
      </w:pPr>
      <w:r>
        <w:rPr>
          <w:rFonts w:ascii="黑体" w:hAnsi="黑体" w:eastAsia="黑体"/>
          <w:color w:val="000000"/>
          <w:sz w:val="36"/>
          <w:szCs w:val="36"/>
        </w:rPr>
        <w:br w:type="page"/>
      </w:r>
    </w:p>
    <w:p>
      <w:pPr>
        <w:spacing w:line="360" w:lineRule="auto"/>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为进一步加强交通运输行业政府网站管理，引领交通运输行业政府网站创新发展，深入推进互联网政务信息数据和便民服务平台建设，提升交通运输网上服务能力，按照《国务院办公厅关于印发政府网站发展指引的通知》（国办发〔</w:t>
      </w:r>
      <w:r>
        <w:rPr>
          <w:rFonts w:ascii="仿宋_GB2312" w:hAnsi="仿宋" w:eastAsia="仿宋_GB2312" w:cs="Times New Roman"/>
          <w:color w:val="000000"/>
          <w:sz w:val="28"/>
          <w:szCs w:val="28"/>
        </w:rPr>
        <w:t>2017〕47号）、《国务院办公厅秘书局关于印发政府网站与政务新媒体检查指标、监管工作年度考核指标的通知》（国办秘函</w:t>
      </w:r>
      <w:r>
        <w:rPr>
          <w:rFonts w:hint="eastAsia" w:ascii="仿宋_GB2312" w:hAnsi="仿宋" w:eastAsia="仿宋_GB2312" w:cs="Times New Roman"/>
          <w:color w:val="000000"/>
          <w:sz w:val="28"/>
          <w:szCs w:val="28"/>
        </w:rPr>
        <w:t>〔</w:t>
      </w:r>
      <w:r>
        <w:rPr>
          <w:rFonts w:ascii="仿宋_GB2312" w:hAnsi="仿宋" w:eastAsia="仿宋_GB2312" w:cs="Times New Roman"/>
          <w:color w:val="000000"/>
          <w:sz w:val="28"/>
          <w:szCs w:val="28"/>
        </w:rPr>
        <w:t>2019〕19号）</w:t>
      </w:r>
      <w:r>
        <w:rPr>
          <w:rFonts w:hint="eastAsia" w:ascii="仿宋_GB2312" w:hAnsi="仿宋" w:eastAsia="仿宋_GB2312" w:cs="Times New Roman"/>
          <w:color w:val="000000"/>
          <w:sz w:val="28"/>
          <w:szCs w:val="28"/>
        </w:rPr>
        <w:t>，</w:t>
      </w:r>
      <w:r>
        <w:rPr>
          <w:rFonts w:ascii="仿宋_GB2312" w:hAnsi="仿宋" w:eastAsia="仿宋_GB2312" w:cs="Times New Roman"/>
          <w:color w:val="000000"/>
          <w:sz w:val="28"/>
          <w:szCs w:val="28"/>
        </w:rPr>
        <w:t>以及《交通运输部政府网站管理办法》等文件的要求，</w:t>
      </w:r>
      <w:r>
        <w:rPr>
          <w:rFonts w:hint="eastAsia" w:ascii="仿宋_GB2312" w:hAnsi="仿宋" w:eastAsia="仿宋_GB2312" w:cs="Times New Roman"/>
          <w:color w:val="000000"/>
          <w:sz w:val="28"/>
          <w:szCs w:val="28"/>
        </w:rPr>
        <w:t>结合我省交通运输行业网站工作实际，省厅继续委托陕西省网络与信息安全测评中心（以下简称“测评中心”）开展我省20</w:t>
      </w:r>
      <w:r>
        <w:rPr>
          <w:rFonts w:ascii="仿宋_GB2312" w:hAnsi="仿宋" w:eastAsia="仿宋_GB2312" w:cs="Times New Roman"/>
          <w:color w:val="000000"/>
          <w:sz w:val="28"/>
          <w:szCs w:val="28"/>
        </w:rPr>
        <w:t>23</w:t>
      </w:r>
      <w:r>
        <w:rPr>
          <w:rFonts w:hint="eastAsia" w:ascii="仿宋_GB2312" w:hAnsi="仿宋" w:eastAsia="仿宋_GB2312" w:cs="Times New Roman"/>
          <w:color w:val="000000"/>
          <w:sz w:val="28"/>
          <w:szCs w:val="28"/>
        </w:rPr>
        <w:t>年度交通运输系统门户网站绩效评估工作。</w:t>
      </w:r>
    </w:p>
    <w:p>
      <w:pPr>
        <w:widowControl w:val="0"/>
        <w:numPr>
          <w:ilvl w:val="0"/>
          <w:numId w:val="1"/>
        </w:numPr>
        <w:spacing w:after="156" w:afterLines="50" w:line="360" w:lineRule="auto"/>
        <w:ind w:left="1281" w:firstLine="420" w:firstLineChars="0"/>
        <w:jc w:val="both"/>
        <w:outlineLvl w:val="0"/>
        <w:rPr>
          <w:rFonts w:ascii="仿宋_GB2312" w:hAnsi="等线" w:eastAsia="仿宋_GB2312" w:cs="Times New Roman"/>
          <w:b/>
          <w:color w:val="000000"/>
          <w:kern w:val="2"/>
          <w:sz w:val="28"/>
          <w:szCs w:val="28"/>
          <w:lang w:val="en-US" w:eastAsia="zh-CN" w:bidi="ar-SA"/>
        </w:rPr>
      </w:pPr>
      <w:bookmarkStart w:id="0" w:name="_Toc9521848"/>
      <w:bookmarkStart w:id="1" w:name="_Toc127368195"/>
      <w:r>
        <w:rPr>
          <w:rFonts w:ascii="仿宋_GB2312" w:hAnsi="等线" w:eastAsia="仿宋_GB2312" w:cs="Times New Roman"/>
          <w:b/>
          <w:color w:val="000000"/>
          <w:kern w:val="2"/>
          <w:sz w:val="28"/>
          <w:szCs w:val="28"/>
          <w:lang w:val="en-US" w:eastAsia="zh-CN" w:bidi="ar-SA"/>
        </w:rPr>
        <w:t>项目实施单位基本情况</w:t>
      </w:r>
      <w:bookmarkEnd w:id="0"/>
      <w:bookmarkEnd w:id="1"/>
    </w:p>
    <w:p>
      <w:pPr>
        <w:spacing w:line="360" w:lineRule="auto"/>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测评中心是具有独立法人资格的事业单位，是政府授权的专门从事网络安全服务的第三方专控机构，是我省网络安全和信息化建设的支撑单位，长期承担全省政府网站和政务新媒体检查、政务公开评估、网络安全等级保护测评、关键信息基础设施网络安全专项检查、党政机关网站脆弱性监测、云防御服务等工作，对外提供的服务深受省政府办公厅、省委网信办、省工业和信息化厅的充分肯定。</w:t>
      </w:r>
    </w:p>
    <w:p>
      <w:pPr>
        <w:spacing w:line="360" w:lineRule="auto"/>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自成立以来，测评中心先后获得了网络安全等级保护测评机构证书、ISO27001信息安全管理体系认证、CNAS检验机构认可证书、涉密信息系统集成资质和信息安全风险评估资质，曾获得陕西省科学技术进步二等奖、三等奖、信息安全国家标准优秀应用案例奖等。建立团队保障、专业要求、服务质量等工作机制，在工作中形成一支专业技术强、经验丰富的专项工作小组，专门开展政府网站检查工作。</w:t>
      </w:r>
    </w:p>
    <w:p>
      <w:pPr>
        <w:spacing w:line="360" w:lineRule="auto"/>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测评中心始终以促进我省信息安全保障体系的完善，推动信息化和信息安全产业的健康有序发展为目标，坚持“科学规范、客观公正、严谨高效”的工作准则，连续多年承担政府网站和政务新媒体检查、政府网站绩效评估、信息安全相关工作，具有丰富的网站和新媒体检查、绩效评估、安全服务等经验，为我省政府网站的建设做出了一定的贡献。</w:t>
      </w:r>
    </w:p>
    <w:p>
      <w:pPr>
        <w:widowControl w:val="0"/>
        <w:numPr>
          <w:ilvl w:val="0"/>
          <w:numId w:val="1"/>
        </w:numPr>
        <w:spacing w:after="156" w:afterLines="50" w:line="360" w:lineRule="auto"/>
        <w:ind w:left="1281" w:firstLine="420" w:firstLineChars="0"/>
        <w:jc w:val="both"/>
        <w:outlineLvl w:val="0"/>
        <w:rPr>
          <w:rFonts w:ascii="仿宋_GB2312" w:hAnsi="等线" w:eastAsia="仿宋_GB2312" w:cs="Times New Roman"/>
          <w:b/>
          <w:color w:val="000000"/>
          <w:kern w:val="2"/>
          <w:sz w:val="28"/>
          <w:szCs w:val="28"/>
          <w:lang w:val="en-US" w:eastAsia="zh-CN" w:bidi="ar-SA"/>
        </w:rPr>
      </w:pPr>
      <w:bookmarkStart w:id="2" w:name="_Toc127368196"/>
      <w:bookmarkStart w:id="3" w:name="_Toc9521849"/>
      <w:r>
        <w:rPr>
          <w:rFonts w:ascii="仿宋_GB2312" w:hAnsi="等线" w:eastAsia="仿宋_GB2312" w:cs="Times New Roman"/>
          <w:b/>
          <w:color w:val="000000"/>
          <w:kern w:val="2"/>
          <w:sz w:val="28"/>
          <w:szCs w:val="28"/>
          <w:lang w:val="en-US" w:eastAsia="zh-CN" w:bidi="ar-SA"/>
        </w:rPr>
        <w:t>实施</w:t>
      </w:r>
      <w:r>
        <w:rPr>
          <w:rFonts w:hint="eastAsia" w:ascii="仿宋_GB2312" w:hAnsi="等线" w:eastAsia="仿宋_GB2312" w:cs="Times New Roman"/>
          <w:b/>
          <w:color w:val="000000"/>
          <w:kern w:val="2"/>
          <w:sz w:val="28"/>
          <w:szCs w:val="28"/>
          <w:lang w:val="en-US" w:eastAsia="zh-CN" w:bidi="ar-SA"/>
        </w:rPr>
        <w:t>依据</w:t>
      </w:r>
      <w:bookmarkEnd w:id="2"/>
      <w:bookmarkEnd w:id="3"/>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相关政策文件依据：</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1.《中华人民共和国政府信息公开条例》（中华人民共和国国务院令第711号）；</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2．《国务院办公厅关于进一步加强政府网站管理工作的通知》（国办函〔2011〕40号）；</w:t>
      </w:r>
    </w:p>
    <w:p>
      <w:pPr>
        <w:ind w:firstLine="560" w:firstLineChars="200"/>
        <w:rPr>
          <w:rFonts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.《国务院办公厅关于进一步加强政府信息公开回应社会关切提升政府公信力的意见》（国办发〔2013〕100号）；</w:t>
      </w:r>
    </w:p>
    <w:p>
      <w:pPr>
        <w:ind w:firstLine="560" w:firstLineChars="200"/>
        <w:rPr>
          <w:rFonts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.《国务院办公厅关于加强政府网站信息内容建设的意见》（国办发〔2014〕57号）；</w:t>
      </w:r>
    </w:p>
    <w:p>
      <w:pPr>
        <w:ind w:firstLine="560" w:firstLineChars="200"/>
        <w:rPr>
          <w:rFonts w:hint="eastAsia" w:ascii="仿宋_GB2312" w:eastAsia="仿宋_GB2312"/>
          <w:color w:val="000000"/>
          <w:sz w:val="28"/>
          <w:szCs w:val="28"/>
        </w:rPr>
      </w:pPr>
      <w:r>
        <w:rPr>
          <w:rFonts w:ascii="仿宋_GB2312" w:eastAsia="仿宋_GB2312"/>
          <w:color w:val="000000"/>
          <w:sz w:val="28"/>
          <w:szCs w:val="28"/>
        </w:rPr>
        <w:t>5.</w:t>
      </w:r>
      <w:r>
        <w:rPr>
          <w:rFonts w:hint="eastAsia" w:ascii="仿宋_GB2312" w:eastAsia="仿宋_GB2312"/>
          <w:color w:val="000000"/>
          <w:sz w:val="28"/>
          <w:szCs w:val="28"/>
        </w:rPr>
        <w:t>《国务院关于加快推进“互联网+政务服务”工作的指导意见》（国发〔201</w:t>
      </w:r>
      <w:r>
        <w:rPr>
          <w:rFonts w:ascii="仿宋_GB2312" w:eastAsia="仿宋_GB2312"/>
          <w:color w:val="000000"/>
          <w:sz w:val="28"/>
          <w:szCs w:val="28"/>
        </w:rPr>
        <w:t>6</w:t>
      </w:r>
      <w:r>
        <w:rPr>
          <w:rFonts w:hint="eastAsia" w:ascii="仿宋_GB2312" w:eastAsia="仿宋_GB2312"/>
          <w:color w:val="000000"/>
          <w:sz w:val="28"/>
          <w:szCs w:val="28"/>
        </w:rPr>
        <w:t>〕5</w:t>
      </w:r>
      <w:r>
        <w:rPr>
          <w:rFonts w:ascii="仿宋_GB2312" w:eastAsia="仿宋_GB2312"/>
          <w:color w:val="000000"/>
          <w:sz w:val="28"/>
          <w:szCs w:val="28"/>
        </w:rPr>
        <w:t>5</w:t>
      </w:r>
      <w:r>
        <w:rPr>
          <w:rFonts w:hint="eastAsia" w:ascii="仿宋_GB2312" w:eastAsia="仿宋_GB2312"/>
          <w:color w:val="000000"/>
          <w:sz w:val="28"/>
          <w:szCs w:val="28"/>
        </w:rPr>
        <w:t>号）；</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6.《国务院办公厅关于印发政府网站发展指引的通知》（国办发〔2017〕47号）；</w:t>
      </w:r>
    </w:p>
    <w:p>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7.《国务院办公厅关于推进政务新媒体健康有序发展的意见》（国办发〔201</w:t>
      </w:r>
      <w:r>
        <w:rPr>
          <w:rFonts w:ascii="仿宋_GB2312" w:eastAsia="仿宋_GB2312"/>
          <w:color w:val="000000"/>
          <w:sz w:val="28"/>
          <w:szCs w:val="28"/>
        </w:rPr>
        <w:t>8</w:t>
      </w:r>
      <w:r>
        <w:rPr>
          <w:rFonts w:hint="eastAsia" w:ascii="仿宋_GB2312" w:eastAsia="仿宋_GB2312"/>
          <w:color w:val="000000"/>
          <w:sz w:val="28"/>
          <w:szCs w:val="28"/>
        </w:rPr>
        <w:t>〕</w:t>
      </w:r>
      <w:r>
        <w:rPr>
          <w:rFonts w:ascii="仿宋_GB2312" w:eastAsia="仿宋_GB2312"/>
          <w:color w:val="000000"/>
          <w:sz w:val="28"/>
          <w:szCs w:val="28"/>
        </w:rPr>
        <w:t>123</w:t>
      </w:r>
      <w:r>
        <w:rPr>
          <w:rFonts w:hint="eastAsia" w:ascii="仿宋_GB2312" w:eastAsia="仿宋_GB2312"/>
          <w:color w:val="000000"/>
          <w:sz w:val="28"/>
          <w:szCs w:val="28"/>
        </w:rPr>
        <w:t>号）；</w:t>
      </w:r>
    </w:p>
    <w:p>
      <w:pPr>
        <w:ind w:firstLine="560" w:firstLineChars="200"/>
        <w:rPr>
          <w:rFonts w:ascii="仿宋_GB2312" w:eastAsia="仿宋_GB2312"/>
          <w:color w:val="000000"/>
          <w:sz w:val="28"/>
          <w:szCs w:val="28"/>
        </w:rPr>
      </w:pPr>
      <w:r>
        <w:rPr>
          <w:rFonts w:ascii="仿宋_GB2312" w:eastAsia="仿宋_GB2312"/>
          <w:color w:val="000000"/>
          <w:sz w:val="28"/>
          <w:szCs w:val="28"/>
        </w:rPr>
        <w:t>8</w:t>
      </w:r>
      <w:r>
        <w:rPr>
          <w:rFonts w:hint="eastAsia" w:ascii="仿宋_GB2312" w:eastAsia="仿宋_GB2312"/>
          <w:color w:val="000000"/>
          <w:sz w:val="28"/>
          <w:szCs w:val="28"/>
        </w:rPr>
        <w:t>.《交通运输行业政府网站建设规范》JT</w:t>
      </w:r>
      <w:r>
        <w:rPr>
          <w:rFonts w:hint="eastAsia" w:ascii="微软雅黑" w:hAnsi="微软雅黑" w:eastAsia="微软雅黑" w:cs="微软雅黑"/>
          <w:color w:val="000000"/>
          <w:sz w:val="28"/>
          <w:szCs w:val="28"/>
        </w:rPr>
        <w:t>∕</w:t>
      </w:r>
      <w:r>
        <w:rPr>
          <w:rFonts w:hint="eastAsia" w:ascii="仿宋_GB2312" w:eastAsia="仿宋_GB2312"/>
          <w:color w:val="000000"/>
          <w:sz w:val="28"/>
          <w:szCs w:val="28"/>
        </w:rPr>
        <w:t>T 907-2014；</w:t>
      </w:r>
    </w:p>
    <w:p>
      <w:pPr>
        <w:ind w:firstLine="560" w:firstLineChars="200"/>
        <w:rPr>
          <w:rFonts w:ascii="仿宋_GB2312" w:eastAsia="仿宋_GB2312"/>
          <w:color w:val="000000"/>
          <w:sz w:val="28"/>
          <w:szCs w:val="28"/>
        </w:rPr>
      </w:pPr>
      <w:r>
        <w:rPr>
          <w:rFonts w:ascii="仿宋_GB2312" w:eastAsia="仿宋_GB2312"/>
          <w:color w:val="000000"/>
          <w:sz w:val="28"/>
          <w:szCs w:val="28"/>
        </w:rPr>
        <w:t>9</w:t>
      </w:r>
      <w:r>
        <w:rPr>
          <w:rFonts w:hint="eastAsia" w:ascii="仿宋_GB2312" w:eastAsia="仿宋_GB2312"/>
          <w:color w:val="000000"/>
          <w:sz w:val="28"/>
          <w:szCs w:val="28"/>
        </w:rPr>
        <w:t>.</w:t>
      </w:r>
      <w:r>
        <w:rPr>
          <w:rFonts w:ascii="仿宋_GB2312" w:eastAsia="仿宋_GB2312"/>
          <w:color w:val="000000"/>
          <w:sz w:val="28"/>
          <w:szCs w:val="28"/>
        </w:rPr>
        <w:t>《国务院办公厅秘书局关于印发政府网站与政务新媒体检查指标、监管工作年度考核指标的通知》（国办秘函</w:t>
      </w:r>
      <w:r>
        <w:rPr>
          <w:rFonts w:hint="eastAsia" w:ascii="仿宋_GB2312" w:eastAsia="仿宋_GB2312"/>
          <w:color w:val="000000"/>
          <w:sz w:val="28"/>
          <w:szCs w:val="28"/>
        </w:rPr>
        <w:t>〔201</w:t>
      </w:r>
      <w:r>
        <w:rPr>
          <w:rFonts w:ascii="仿宋_GB2312" w:eastAsia="仿宋_GB2312"/>
          <w:color w:val="000000"/>
          <w:sz w:val="28"/>
          <w:szCs w:val="28"/>
        </w:rPr>
        <w:t>9</w:t>
      </w:r>
      <w:r>
        <w:rPr>
          <w:rFonts w:hint="eastAsia" w:ascii="仿宋_GB2312" w:eastAsia="仿宋_GB2312"/>
          <w:color w:val="000000"/>
          <w:sz w:val="28"/>
          <w:szCs w:val="28"/>
        </w:rPr>
        <w:t>〕</w:t>
      </w:r>
      <w:r>
        <w:rPr>
          <w:rFonts w:ascii="仿宋_GB2312" w:eastAsia="仿宋_GB2312"/>
          <w:color w:val="000000"/>
          <w:sz w:val="28"/>
          <w:szCs w:val="28"/>
        </w:rPr>
        <w:t>19号）</w:t>
      </w:r>
      <w:r>
        <w:rPr>
          <w:rFonts w:hint="eastAsia" w:ascii="仿宋_GB2312" w:eastAsia="仿宋_GB2312"/>
          <w:color w:val="000000"/>
          <w:sz w:val="28"/>
          <w:szCs w:val="28"/>
        </w:rPr>
        <w:t>；</w:t>
      </w:r>
    </w:p>
    <w:p>
      <w:pPr>
        <w:ind w:firstLine="560" w:firstLineChars="200"/>
        <w:rPr>
          <w:rFonts w:ascii="仿宋_GB2312" w:eastAsia="仿宋_GB2312"/>
          <w:color w:val="000000"/>
          <w:sz w:val="28"/>
          <w:szCs w:val="28"/>
        </w:rPr>
      </w:pPr>
      <w:r>
        <w:rPr>
          <w:rFonts w:ascii="仿宋_GB2312" w:eastAsia="仿宋_GB2312"/>
          <w:color w:val="000000"/>
          <w:sz w:val="28"/>
          <w:szCs w:val="28"/>
        </w:rPr>
        <w:t>10.</w:t>
      </w:r>
      <w:r>
        <w:rPr>
          <w:rFonts w:hint="eastAsia" w:ascii="仿宋_GB2312" w:eastAsia="仿宋_GB2312"/>
          <w:color w:val="000000"/>
          <w:sz w:val="28"/>
          <w:szCs w:val="28"/>
        </w:rPr>
        <w:t>《国务院办公厅政府信息与政务公开办公室关于印发〈中华人民共和国政府信息公开工作年度报告格式〉的通知》</w:t>
      </w:r>
      <w:r>
        <w:rPr>
          <w:rFonts w:ascii="仿宋_GB2312" w:eastAsia="仿宋_GB2312"/>
          <w:color w:val="000000"/>
          <w:sz w:val="28"/>
          <w:szCs w:val="28"/>
        </w:rPr>
        <w:t>（国办</w:t>
      </w:r>
      <w:r>
        <w:rPr>
          <w:rFonts w:hint="eastAsia" w:ascii="仿宋_GB2312" w:eastAsia="仿宋_GB2312"/>
          <w:color w:val="000000"/>
          <w:sz w:val="28"/>
          <w:szCs w:val="28"/>
        </w:rPr>
        <w:t>公开办</w:t>
      </w:r>
      <w:r>
        <w:rPr>
          <w:rFonts w:ascii="仿宋_GB2312" w:eastAsia="仿宋_GB2312"/>
          <w:color w:val="000000"/>
          <w:sz w:val="28"/>
          <w:szCs w:val="28"/>
        </w:rPr>
        <w:t>函</w:t>
      </w:r>
      <w:r>
        <w:rPr>
          <w:rFonts w:hint="eastAsia" w:ascii="仿宋_GB2312" w:eastAsia="仿宋_GB2312"/>
          <w:color w:val="000000"/>
          <w:sz w:val="28"/>
          <w:szCs w:val="28"/>
        </w:rPr>
        <w:t>〔201</w:t>
      </w:r>
      <w:r>
        <w:rPr>
          <w:rFonts w:ascii="仿宋_GB2312" w:eastAsia="仿宋_GB2312"/>
          <w:color w:val="000000"/>
          <w:sz w:val="28"/>
          <w:szCs w:val="28"/>
        </w:rPr>
        <w:t>9</w:t>
      </w:r>
      <w:r>
        <w:rPr>
          <w:rFonts w:hint="eastAsia" w:ascii="仿宋_GB2312" w:eastAsia="仿宋_GB2312"/>
          <w:color w:val="000000"/>
          <w:sz w:val="28"/>
          <w:szCs w:val="28"/>
        </w:rPr>
        <w:t>〕</w:t>
      </w:r>
      <w:r>
        <w:rPr>
          <w:rFonts w:ascii="仿宋_GB2312" w:eastAsia="仿宋_GB2312"/>
          <w:color w:val="000000"/>
          <w:sz w:val="28"/>
          <w:szCs w:val="28"/>
        </w:rPr>
        <w:t>61号）</w:t>
      </w:r>
      <w:r>
        <w:rPr>
          <w:rFonts w:hint="eastAsia" w:ascii="仿宋_GB2312" w:eastAsia="仿宋_GB2312"/>
          <w:color w:val="000000"/>
          <w:sz w:val="28"/>
          <w:szCs w:val="28"/>
        </w:rPr>
        <w:t>；</w:t>
      </w:r>
    </w:p>
    <w:p>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1.</w:t>
      </w:r>
      <w:r>
        <w:rPr>
          <w:rFonts w:hint="eastAsia" w:ascii="仿宋_GB2312" w:eastAsia="仿宋_GB2312"/>
          <w:color w:val="000000"/>
          <w:sz w:val="28"/>
          <w:szCs w:val="28"/>
        </w:rPr>
        <w:t>《陕西省人民政府政务公开办公室关于印发〈陕西省政府网站与政务新媒体管理细则〉的通知》</w:t>
      </w:r>
      <w:r>
        <w:rPr>
          <w:rFonts w:ascii="仿宋_GB2312" w:eastAsia="仿宋_GB2312"/>
          <w:color w:val="000000"/>
          <w:sz w:val="28"/>
          <w:szCs w:val="28"/>
        </w:rPr>
        <w:t>（</w:t>
      </w:r>
      <w:r>
        <w:rPr>
          <w:rFonts w:hint="eastAsia" w:ascii="仿宋_GB2312" w:eastAsia="仿宋_GB2312"/>
          <w:color w:val="000000"/>
          <w:sz w:val="28"/>
          <w:szCs w:val="28"/>
        </w:rPr>
        <w:t>陕政公开办〔20</w:t>
      </w:r>
      <w:r>
        <w:rPr>
          <w:rFonts w:ascii="仿宋_GB2312" w:eastAsia="仿宋_GB2312"/>
          <w:color w:val="000000"/>
          <w:sz w:val="28"/>
          <w:szCs w:val="28"/>
        </w:rPr>
        <w:t>21</w:t>
      </w:r>
      <w:r>
        <w:rPr>
          <w:rFonts w:hint="eastAsia" w:ascii="仿宋_GB2312" w:eastAsia="仿宋_GB2312"/>
          <w:color w:val="000000"/>
          <w:sz w:val="28"/>
          <w:szCs w:val="28"/>
        </w:rPr>
        <w:t>〕</w:t>
      </w:r>
      <w:r>
        <w:rPr>
          <w:rFonts w:ascii="仿宋_GB2312" w:eastAsia="仿宋_GB2312"/>
          <w:color w:val="000000"/>
          <w:sz w:val="28"/>
          <w:szCs w:val="28"/>
        </w:rPr>
        <w:t>18号）</w:t>
      </w:r>
      <w:r>
        <w:rPr>
          <w:rFonts w:hint="eastAsia" w:ascii="仿宋_GB2312" w:eastAsia="仿宋_GB2312"/>
          <w:color w:val="000000"/>
          <w:sz w:val="28"/>
          <w:szCs w:val="28"/>
        </w:rPr>
        <w:t>。</w:t>
      </w:r>
    </w:p>
    <w:p>
      <w:pPr>
        <w:widowControl w:val="0"/>
        <w:numPr>
          <w:ilvl w:val="0"/>
          <w:numId w:val="1"/>
        </w:numPr>
        <w:ind w:left="1282" w:hanging="720" w:firstLineChars="0"/>
        <w:jc w:val="both"/>
        <w:outlineLvl w:val="0"/>
        <w:rPr>
          <w:rFonts w:ascii="仿宋_GB2312" w:hAnsi="仿宋" w:eastAsia="仿宋_GB2312" w:cs="Times New Roman"/>
          <w:b/>
          <w:bCs/>
          <w:color w:val="000000"/>
          <w:kern w:val="2"/>
          <w:sz w:val="28"/>
          <w:szCs w:val="28"/>
          <w:lang w:val="en-US" w:eastAsia="zh-CN" w:bidi="ar-SA"/>
        </w:rPr>
      </w:pPr>
      <w:bookmarkStart w:id="4" w:name="_Toc127368197"/>
      <w:r>
        <w:rPr>
          <w:rFonts w:hint="eastAsia" w:ascii="仿宋_GB2312" w:hAnsi="仿宋" w:eastAsia="仿宋_GB2312" w:cs="Times New Roman"/>
          <w:b/>
          <w:bCs/>
          <w:color w:val="000000"/>
          <w:kern w:val="2"/>
          <w:sz w:val="28"/>
          <w:szCs w:val="28"/>
          <w:lang w:val="en-US" w:eastAsia="zh-CN" w:bidi="ar-SA"/>
        </w:rPr>
        <w:t>评估范围</w:t>
      </w:r>
      <w:bookmarkEnd w:id="4"/>
    </w:p>
    <w:p>
      <w:pPr>
        <w:ind w:firstLine="560" w:firstLineChars="200"/>
        <w:outlineLvl w:val="1"/>
        <w:rPr>
          <w:rFonts w:ascii="仿宋_GB2312" w:hAnsi="仿宋" w:eastAsia="仿宋_GB2312" w:cs="Times New Roman"/>
          <w:color w:val="000000"/>
          <w:sz w:val="28"/>
          <w:szCs w:val="28"/>
        </w:rPr>
      </w:pPr>
      <w:bookmarkStart w:id="5" w:name="_Toc127368198"/>
      <w:r>
        <w:rPr>
          <w:rFonts w:hint="eastAsia" w:ascii="仿宋_GB2312" w:hAnsi="仿宋" w:eastAsia="仿宋_GB2312" w:cs="Times New Roman"/>
          <w:color w:val="000000"/>
          <w:sz w:val="28"/>
          <w:szCs w:val="28"/>
        </w:rPr>
        <w:t>（一）政府网站</w:t>
      </w:r>
      <w:bookmarkEnd w:id="5"/>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20</w:t>
      </w:r>
      <w:r>
        <w:rPr>
          <w:rFonts w:ascii="仿宋_GB2312" w:eastAsia="仿宋_GB2312"/>
          <w:color w:val="000000"/>
          <w:sz w:val="28"/>
          <w:szCs w:val="28"/>
        </w:rPr>
        <w:t>23</w:t>
      </w:r>
      <w:r>
        <w:rPr>
          <w:rFonts w:hint="eastAsia" w:ascii="仿宋_GB2312" w:eastAsia="仿宋_GB2312"/>
          <w:color w:val="000000"/>
          <w:sz w:val="28"/>
          <w:szCs w:val="28"/>
        </w:rPr>
        <w:t>年陕西省交通运输系统门户网站绩效评估对象包括各设区市交通运输局1</w:t>
      </w:r>
      <w:r>
        <w:rPr>
          <w:rFonts w:ascii="仿宋_GB2312" w:eastAsia="仿宋_GB2312"/>
          <w:color w:val="000000"/>
          <w:sz w:val="28"/>
          <w:szCs w:val="28"/>
        </w:rPr>
        <w:t>0</w:t>
      </w:r>
      <w:r>
        <w:rPr>
          <w:rFonts w:hint="eastAsia" w:ascii="仿宋_GB2312" w:eastAsia="仿宋_GB2312"/>
          <w:color w:val="000000"/>
          <w:sz w:val="28"/>
          <w:szCs w:val="28"/>
        </w:rPr>
        <w:t>家、厅直事业单位</w:t>
      </w:r>
      <w:r>
        <w:rPr>
          <w:rFonts w:ascii="仿宋_GB2312" w:eastAsia="仿宋_GB2312"/>
          <w:color w:val="000000"/>
          <w:sz w:val="28"/>
          <w:szCs w:val="28"/>
        </w:rPr>
        <w:t>6</w:t>
      </w:r>
      <w:r>
        <w:rPr>
          <w:rFonts w:hint="eastAsia" w:ascii="仿宋_GB2312" w:eastAsia="仿宋_GB2312"/>
          <w:color w:val="000000"/>
          <w:sz w:val="28"/>
          <w:szCs w:val="28"/>
        </w:rPr>
        <w:t>家，共计</w:t>
      </w:r>
      <w:r>
        <w:rPr>
          <w:rFonts w:ascii="仿宋_GB2312" w:eastAsia="仿宋_GB2312"/>
          <w:color w:val="000000"/>
          <w:sz w:val="28"/>
          <w:szCs w:val="28"/>
        </w:rPr>
        <w:t>1</w:t>
      </w:r>
      <w:r>
        <w:rPr>
          <w:rFonts w:hint="eastAsia" w:ascii="仿宋_GB2312" w:eastAsia="仿宋_GB2312"/>
          <w:color w:val="000000"/>
          <w:sz w:val="28"/>
          <w:szCs w:val="28"/>
        </w:rPr>
        <w:t>6个评估对象。具体如下：</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各设区市交通运输局网站（1</w:t>
      </w:r>
      <w:r>
        <w:rPr>
          <w:rFonts w:ascii="仿宋_GB2312" w:eastAsia="仿宋_GB2312"/>
          <w:color w:val="000000"/>
          <w:sz w:val="28"/>
          <w:szCs w:val="28"/>
        </w:rPr>
        <w:t>0</w:t>
      </w:r>
      <w:r>
        <w:rPr>
          <w:rFonts w:hint="eastAsia" w:ascii="仿宋_GB2312" w:eastAsia="仿宋_GB2312"/>
          <w:color w:val="000000"/>
          <w:sz w:val="28"/>
          <w:szCs w:val="28"/>
        </w:rPr>
        <w:t>家）：西安市交通运输局、宝鸡市交通运输局、咸阳市交通运输局、渭南市交通运输局、延安市交通运输局、榆林市交通运输局、汉中市交通运输局、安康市交通运输局、商洛市交通运输局、杨凌示范区交通运输局。</w:t>
      </w:r>
    </w:p>
    <w:p>
      <w:pPr>
        <w:widowControl/>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厅直事业单位网站（6家）：陕西省公路局、陕西省道路运输事业发展中心、陕西省水路交通事业发展中心、陕西省交通运输工程质量监测鉴定站、陕西省高速公路收费中心、陕西省交通医院。</w:t>
      </w:r>
    </w:p>
    <w:p>
      <w:pPr>
        <w:ind w:firstLine="560" w:firstLineChars="200"/>
        <w:outlineLvl w:val="1"/>
        <w:rPr>
          <w:rFonts w:ascii="仿宋_GB2312" w:hAnsi="仿宋" w:eastAsia="仿宋_GB2312" w:cs="Times New Roman"/>
          <w:color w:val="000000"/>
          <w:sz w:val="28"/>
          <w:szCs w:val="28"/>
        </w:rPr>
      </w:pPr>
      <w:bookmarkStart w:id="6" w:name="_Toc127368199"/>
      <w:r>
        <w:rPr>
          <w:rFonts w:hint="eastAsia" w:ascii="仿宋_GB2312" w:hAnsi="仿宋" w:eastAsia="仿宋_GB2312" w:cs="Times New Roman"/>
          <w:color w:val="000000"/>
          <w:sz w:val="28"/>
          <w:szCs w:val="28"/>
        </w:rPr>
        <w:t>（二）政务新媒体</w:t>
      </w:r>
      <w:bookmarkEnd w:id="6"/>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20</w:t>
      </w:r>
      <w:r>
        <w:rPr>
          <w:rFonts w:ascii="仿宋_GB2312" w:eastAsia="仿宋_GB2312"/>
          <w:color w:val="000000"/>
          <w:sz w:val="28"/>
          <w:szCs w:val="28"/>
        </w:rPr>
        <w:t>23</w:t>
      </w:r>
      <w:r>
        <w:rPr>
          <w:rFonts w:hint="eastAsia" w:ascii="仿宋_GB2312" w:eastAsia="仿宋_GB2312"/>
          <w:color w:val="000000"/>
          <w:sz w:val="28"/>
          <w:szCs w:val="28"/>
        </w:rPr>
        <w:t>年陕西省交通运输系统门户网站绩效评估对象包括</w:t>
      </w:r>
      <w:r>
        <w:rPr>
          <w:rFonts w:ascii="仿宋_GB2312" w:eastAsia="仿宋_GB2312"/>
          <w:color w:val="000000"/>
          <w:sz w:val="28"/>
          <w:szCs w:val="28"/>
        </w:rPr>
        <w:t>18</w:t>
      </w:r>
      <w:r>
        <w:rPr>
          <w:rFonts w:hint="eastAsia" w:ascii="仿宋_GB2312" w:eastAsia="仿宋_GB2312"/>
          <w:color w:val="000000"/>
          <w:sz w:val="28"/>
          <w:szCs w:val="28"/>
        </w:rPr>
        <w:t>个新媒体账号，涉及微博、微信。具体如下：</w:t>
      </w:r>
    </w:p>
    <w:tbl>
      <w:tblPr>
        <w:tblStyle w:val="4"/>
        <w:tblW w:w="7650" w:type="dxa"/>
        <w:jc w:val="center"/>
        <w:tblLayout w:type="autofit"/>
        <w:tblCellMar>
          <w:top w:w="0" w:type="dxa"/>
          <w:left w:w="108" w:type="dxa"/>
          <w:bottom w:w="0" w:type="dxa"/>
          <w:right w:w="108" w:type="dxa"/>
        </w:tblCellMar>
      </w:tblPr>
      <w:tblGrid>
        <w:gridCol w:w="846"/>
        <w:gridCol w:w="2977"/>
        <w:gridCol w:w="2268"/>
        <w:gridCol w:w="1559"/>
      </w:tblGrid>
      <w:tr>
        <w:tblPrEx>
          <w:tblCellMar>
            <w:top w:w="0" w:type="dxa"/>
            <w:left w:w="108" w:type="dxa"/>
            <w:bottom w:w="0" w:type="dxa"/>
            <w:right w:w="108" w:type="dxa"/>
          </w:tblCellMar>
        </w:tblPrEx>
        <w:trPr>
          <w:trHeight w:val="680" w:hRule="atLeast"/>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D0CECE"/>
            <w:vAlign w:val="center"/>
          </w:tcPr>
          <w:p>
            <w:pPr>
              <w:widowControl/>
              <w:jc w:val="center"/>
              <w:rPr>
                <w:rFonts w:ascii="仿宋_GB2312" w:hAnsi="宋体" w:eastAsia="仿宋_GB2312" w:cs="Tahoma"/>
                <w:b/>
                <w:bCs/>
                <w:color w:val="000000"/>
                <w:kern w:val="0"/>
                <w:sz w:val="24"/>
                <w:szCs w:val="24"/>
              </w:rPr>
            </w:pPr>
            <w:r>
              <w:rPr>
                <w:rFonts w:hint="eastAsia" w:ascii="仿宋_GB2312" w:hAnsi="宋体" w:eastAsia="仿宋_GB2312" w:cs="Tahoma"/>
                <w:b/>
                <w:bCs/>
                <w:color w:val="000000"/>
                <w:kern w:val="0"/>
                <w:sz w:val="24"/>
                <w:szCs w:val="24"/>
              </w:rPr>
              <w:t>序号</w:t>
            </w:r>
          </w:p>
        </w:tc>
        <w:tc>
          <w:tcPr>
            <w:tcW w:w="2977" w:type="dxa"/>
            <w:tcBorders>
              <w:top w:val="single" w:color="auto" w:sz="4" w:space="0"/>
              <w:left w:val="nil"/>
              <w:bottom w:val="single" w:color="auto" w:sz="4" w:space="0"/>
              <w:right w:val="single" w:color="auto" w:sz="4" w:space="0"/>
            </w:tcBorders>
            <w:shd w:val="clear" w:color="auto" w:fill="D0CECE"/>
            <w:vAlign w:val="center"/>
          </w:tcPr>
          <w:p>
            <w:pPr>
              <w:widowControl/>
              <w:jc w:val="center"/>
              <w:rPr>
                <w:rFonts w:ascii="仿宋_GB2312" w:hAnsi="宋体" w:eastAsia="仿宋_GB2312" w:cs="Tahoma"/>
                <w:b/>
                <w:bCs/>
                <w:color w:val="000000"/>
                <w:kern w:val="0"/>
                <w:sz w:val="24"/>
                <w:szCs w:val="24"/>
              </w:rPr>
            </w:pPr>
            <w:r>
              <w:rPr>
                <w:rFonts w:hint="eastAsia" w:ascii="仿宋_GB2312" w:hAnsi="宋体" w:eastAsia="仿宋_GB2312" w:cs="Tahoma"/>
                <w:b/>
                <w:bCs/>
                <w:color w:val="000000"/>
                <w:kern w:val="0"/>
                <w:sz w:val="24"/>
                <w:szCs w:val="24"/>
              </w:rPr>
              <w:t>代表主体名称</w:t>
            </w:r>
          </w:p>
        </w:tc>
        <w:tc>
          <w:tcPr>
            <w:tcW w:w="2268" w:type="dxa"/>
            <w:tcBorders>
              <w:top w:val="single" w:color="auto" w:sz="4" w:space="0"/>
              <w:left w:val="nil"/>
              <w:bottom w:val="single" w:color="auto" w:sz="4" w:space="0"/>
              <w:right w:val="single" w:color="auto" w:sz="4" w:space="0"/>
            </w:tcBorders>
            <w:shd w:val="clear" w:color="auto" w:fill="D0CECE"/>
            <w:vAlign w:val="center"/>
          </w:tcPr>
          <w:p>
            <w:pPr>
              <w:widowControl/>
              <w:jc w:val="center"/>
              <w:rPr>
                <w:rFonts w:ascii="仿宋_GB2312" w:hAnsi="宋体" w:eastAsia="仿宋_GB2312" w:cs="Tahoma"/>
                <w:b/>
                <w:bCs/>
                <w:color w:val="000000"/>
                <w:kern w:val="0"/>
                <w:sz w:val="24"/>
                <w:szCs w:val="24"/>
              </w:rPr>
            </w:pPr>
            <w:r>
              <w:rPr>
                <w:rFonts w:hint="eastAsia" w:ascii="仿宋_GB2312" w:hAnsi="宋体" w:eastAsia="仿宋_GB2312" w:cs="Tahoma"/>
                <w:b/>
                <w:bCs/>
                <w:color w:val="000000"/>
                <w:kern w:val="0"/>
                <w:sz w:val="24"/>
                <w:szCs w:val="24"/>
              </w:rPr>
              <w:t>新媒体名称</w:t>
            </w:r>
          </w:p>
        </w:tc>
        <w:tc>
          <w:tcPr>
            <w:tcW w:w="1559" w:type="dxa"/>
            <w:tcBorders>
              <w:top w:val="single" w:color="auto" w:sz="4" w:space="0"/>
              <w:left w:val="nil"/>
              <w:bottom w:val="single" w:color="auto" w:sz="4" w:space="0"/>
              <w:right w:val="single" w:color="auto" w:sz="4" w:space="0"/>
            </w:tcBorders>
            <w:shd w:val="clear" w:color="auto" w:fill="D0CECE"/>
            <w:vAlign w:val="center"/>
          </w:tcPr>
          <w:p>
            <w:pPr>
              <w:widowControl/>
              <w:jc w:val="center"/>
              <w:rPr>
                <w:rFonts w:ascii="仿宋_GB2312" w:hAnsi="宋体" w:eastAsia="仿宋_GB2312" w:cs="Tahoma"/>
                <w:b/>
                <w:bCs/>
                <w:color w:val="000000"/>
                <w:kern w:val="0"/>
                <w:sz w:val="24"/>
                <w:szCs w:val="24"/>
              </w:rPr>
            </w:pPr>
            <w:r>
              <w:rPr>
                <w:rFonts w:hint="eastAsia" w:ascii="仿宋_GB2312" w:hAnsi="宋体" w:eastAsia="仿宋_GB2312" w:cs="Tahoma"/>
                <w:b/>
                <w:bCs/>
                <w:color w:val="000000"/>
                <w:kern w:val="0"/>
                <w:sz w:val="24"/>
                <w:szCs w:val="24"/>
              </w:rPr>
              <w:t>新媒体类型</w:t>
            </w:r>
          </w:p>
        </w:tc>
      </w:tr>
      <w:tr>
        <w:tblPrEx>
          <w:tblCellMar>
            <w:top w:w="0" w:type="dxa"/>
            <w:left w:w="108" w:type="dxa"/>
            <w:bottom w:w="0" w:type="dxa"/>
            <w:right w:w="108" w:type="dxa"/>
          </w:tblCellMar>
        </w:tblPrEx>
        <w:trPr>
          <w:trHeight w:val="68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1</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西安市交通运输局</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西安大交通发布</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r>
        <w:tblPrEx>
          <w:tblCellMar>
            <w:top w:w="0" w:type="dxa"/>
            <w:left w:w="108" w:type="dxa"/>
            <w:bottom w:w="0" w:type="dxa"/>
            <w:right w:w="108" w:type="dxa"/>
          </w:tblCellMar>
        </w:tblPrEx>
        <w:trPr>
          <w:trHeight w:val="68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2</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宝鸡市交通运输局</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宝鸡交通</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r>
        <w:tblPrEx>
          <w:tblCellMar>
            <w:top w:w="0" w:type="dxa"/>
            <w:left w:w="108" w:type="dxa"/>
            <w:bottom w:w="0" w:type="dxa"/>
            <w:right w:w="108" w:type="dxa"/>
          </w:tblCellMar>
        </w:tblPrEx>
        <w:trPr>
          <w:trHeight w:val="68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ahoma"/>
                <w:color w:val="000000"/>
                <w:kern w:val="0"/>
                <w:sz w:val="24"/>
                <w:szCs w:val="24"/>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ahoma"/>
                <w:color w:val="000000"/>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宝鸡交通</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微博</w:t>
            </w:r>
          </w:p>
        </w:tc>
      </w:tr>
      <w:tr>
        <w:tblPrEx>
          <w:tblCellMar>
            <w:top w:w="0" w:type="dxa"/>
            <w:left w:w="108" w:type="dxa"/>
            <w:bottom w:w="0" w:type="dxa"/>
            <w:right w:w="108" w:type="dxa"/>
          </w:tblCellMar>
        </w:tblPrEx>
        <w:trPr>
          <w:trHeight w:val="68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3</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铜川市交通运输局</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铜川交通</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r>
        <w:tblPrEx>
          <w:tblCellMar>
            <w:top w:w="0" w:type="dxa"/>
            <w:left w:w="108" w:type="dxa"/>
            <w:bottom w:w="0" w:type="dxa"/>
            <w:right w:w="108" w:type="dxa"/>
          </w:tblCellMar>
        </w:tblPrEx>
        <w:trPr>
          <w:trHeight w:val="68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4</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渭南市交通运输局</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渭南市交通运输局</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r>
        <w:tblPrEx>
          <w:tblCellMar>
            <w:top w:w="0" w:type="dxa"/>
            <w:left w:w="108" w:type="dxa"/>
            <w:bottom w:w="0" w:type="dxa"/>
            <w:right w:w="108" w:type="dxa"/>
          </w:tblCellMar>
        </w:tblPrEx>
        <w:trPr>
          <w:trHeight w:val="68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ahoma"/>
                <w:color w:val="000000"/>
                <w:kern w:val="0"/>
                <w:sz w:val="24"/>
                <w:szCs w:val="24"/>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ahoma"/>
                <w:color w:val="000000"/>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渭南交通运输局</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微博</w:t>
            </w:r>
          </w:p>
        </w:tc>
      </w:tr>
      <w:tr>
        <w:tblPrEx>
          <w:tblCellMar>
            <w:top w:w="0" w:type="dxa"/>
            <w:left w:w="108" w:type="dxa"/>
            <w:bottom w:w="0" w:type="dxa"/>
            <w:right w:w="108" w:type="dxa"/>
          </w:tblCellMar>
        </w:tblPrEx>
        <w:trPr>
          <w:trHeight w:val="68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5</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延安市交通运输局</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延安市交通运输局</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r>
        <w:tblPrEx>
          <w:tblCellMar>
            <w:top w:w="0" w:type="dxa"/>
            <w:left w:w="108" w:type="dxa"/>
            <w:bottom w:w="0" w:type="dxa"/>
            <w:right w:w="108" w:type="dxa"/>
          </w:tblCellMar>
        </w:tblPrEx>
        <w:trPr>
          <w:trHeight w:val="68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ahoma"/>
                <w:color w:val="000000"/>
                <w:kern w:val="0"/>
                <w:sz w:val="24"/>
                <w:szCs w:val="24"/>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ahoma"/>
                <w:color w:val="000000"/>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延安市交通运输局</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微博</w:t>
            </w:r>
          </w:p>
        </w:tc>
      </w:tr>
      <w:tr>
        <w:tblPrEx>
          <w:tblCellMar>
            <w:top w:w="0" w:type="dxa"/>
            <w:left w:w="108" w:type="dxa"/>
            <w:bottom w:w="0" w:type="dxa"/>
            <w:right w:w="108" w:type="dxa"/>
          </w:tblCellMar>
        </w:tblPrEx>
        <w:trPr>
          <w:trHeight w:val="68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6</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汉中市交通运输局</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天汉交通</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r>
        <w:tblPrEx>
          <w:tblCellMar>
            <w:top w:w="0" w:type="dxa"/>
            <w:left w:w="108" w:type="dxa"/>
            <w:bottom w:w="0" w:type="dxa"/>
            <w:right w:w="108" w:type="dxa"/>
          </w:tblCellMar>
        </w:tblPrEx>
        <w:trPr>
          <w:trHeight w:val="68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7</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安康市交通运输局</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安康交通</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r>
        <w:tblPrEx>
          <w:tblCellMar>
            <w:top w:w="0" w:type="dxa"/>
            <w:left w:w="108" w:type="dxa"/>
            <w:bottom w:w="0" w:type="dxa"/>
            <w:right w:w="108" w:type="dxa"/>
          </w:tblCellMar>
        </w:tblPrEx>
        <w:trPr>
          <w:trHeight w:val="68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8</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陕西省铁路集团有限公司</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陕西铁路</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r>
        <w:tblPrEx>
          <w:tblCellMar>
            <w:top w:w="0" w:type="dxa"/>
            <w:left w:w="108" w:type="dxa"/>
            <w:bottom w:w="0" w:type="dxa"/>
            <w:right w:w="108" w:type="dxa"/>
          </w:tblCellMar>
        </w:tblPrEx>
        <w:trPr>
          <w:trHeight w:val="68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9</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陕西省道路运输事业发展中心</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陕西运政</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r>
        <w:tblPrEx>
          <w:tblCellMar>
            <w:top w:w="0" w:type="dxa"/>
            <w:left w:w="108" w:type="dxa"/>
            <w:bottom w:w="0" w:type="dxa"/>
            <w:right w:w="108" w:type="dxa"/>
          </w:tblCellMar>
        </w:tblPrEx>
        <w:trPr>
          <w:trHeight w:val="68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10</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陕西省公路局路政执法总队</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陕西高速路政</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r>
        <w:tblPrEx>
          <w:tblCellMar>
            <w:top w:w="0" w:type="dxa"/>
            <w:left w:w="108" w:type="dxa"/>
            <w:bottom w:w="0" w:type="dxa"/>
            <w:right w:w="108" w:type="dxa"/>
          </w:tblCellMar>
        </w:tblPrEx>
        <w:trPr>
          <w:trHeight w:val="68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11</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陕西省高速公路收费中心</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陕西交通12122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r>
        <w:tblPrEx>
          <w:tblCellMar>
            <w:top w:w="0" w:type="dxa"/>
            <w:left w:w="108" w:type="dxa"/>
            <w:bottom w:w="0" w:type="dxa"/>
            <w:right w:w="108" w:type="dxa"/>
          </w:tblCellMar>
        </w:tblPrEx>
        <w:trPr>
          <w:trHeight w:val="68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ahoma"/>
                <w:color w:val="000000"/>
                <w:kern w:val="0"/>
                <w:sz w:val="24"/>
                <w:szCs w:val="24"/>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ahoma"/>
                <w:color w:val="000000"/>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陕西12122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r>
        <w:tblPrEx>
          <w:tblCellMar>
            <w:top w:w="0" w:type="dxa"/>
            <w:left w:w="108" w:type="dxa"/>
            <w:bottom w:w="0" w:type="dxa"/>
            <w:right w:w="108" w:type="dxa"/>
          </w:tblCellMar>
        </w:tblPrEx>
        <w:trPr>
          <w:trHeight w:val="68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ahoma"/>
                <w:color w:val="000000"/>
                <w:kern w:val="0"/>
                <w:sz w:val="24"/>
                <w:szCs w:val="24"/>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ahoma"/>
                <w:color w:val="000000"/>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陕西交通12122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微博</w:t>
            </w:r>
          </w:p>
        </w:tc>
      </w:tr>
      <w:tr>
        <w:tblPrEx>
          <w:tblCellMar>
            <w:top w:w="0" w:type="dxa"/>
            <w:left w:w="108" w:type="dxa"/>
            <w:bottom w:w="0" w:type="dxa"/>
            <w:right w:w="108" w:type="dxa"/>
          </w:tblCellMar>
        </w:tblPrEx>
        <w:trPr>
          <w:trHeight w:val="68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12</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陕西省交通医院</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陕西省交通医院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r>
        <w:tblPrEx>
          <w:tblCellMar>
            <w:top w:w="0" w:type="dxa"/>
            <w:left w:w="108" w:type="dxa"/>
            <w:bottom w:w="0" w:type="dxa"/>
            <w:right w:w="108" w:type="dxa"/>
          </w:tblCellMar>
        </w:tblPrEx>
        <w:trPr>
          <w:trHeight w:val="68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13</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陕西省交通运输厅工程质量监督站</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陕西交通工程质量安全</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ahoma"/>
                <w:color w:val="000000"/>
                <w:kern w:val="0"/>
                <w:sz w:val="24"/>
                <w:szCs w:val="24"/>
              </w:rPr>
            </w:pPr>
            <w:r>
              <w:rPr>
                <w:rFonts w:hint="eastAsia" w:ascii="仿宋_GB2312" w:hAnsi="宋体" w:eastAsia="仿宋_GB2312" w:cs="Tahoma"/>
                <w:color w:val="000000"/>
                <w:kern w:val="0"/>
                <w:sz w:val="24"/>
                <w:szCs w:val="24"/>
              </w:rPr>
              <w:t>微信</w:t>
            </w:r>
          </w:p>
        </w:tc>
      </w:tr>
    </w:tbl>
    <w:p>
      <w:pPr>
        <w:widowControl w:val="0"/>
        <w:numPr>
          <w:ilvl w:val="0"/>
          <w:numId w:val="1"/>
        </w:numPr>
        <w:ind w:left="1282" w:hanging="720" w:firstLineChars="0"/>
        <w:jc w:val="both"/>
        <w:outlineLvl w:val="0"/>
        <w:rPr>
          <w:rFonts w:ascii="仿宋_GB2312" w:hAnsi="仿宋" w:eastAsia="仿宋_GB2312" w:cs="Times New Roman"/>
          <w:b/>
          <w:bCs/>
          <w:color w:val="000000"/>
          <w:kern w:val="2"/>
          <w:sz w:val="28"/>
          <w:szCs w:val="28"/>
          <w:lang w:val="en-US" w:eastAsia="zh-CN" w:bidi="ar-SA"/>
        </w:rPr>
      </w:pPr>
      <w:bookmarkStart w:id="7" w:name="_Toc127368200"/>
      <w:r>
        <w:rPr>
          <w:rFonts w:hint="eastAsia" w:ascii="仿宋_GB2312" w:hAnsi="仿宋" w:eastAsia="仿宋_GB2312" w:cs="Times New Roman"/>
          <w:b/>
          <w:bCs/>
          <w:color w:val="000000"/>
          <w:kern w:val="2"/>
          <w:sz w:val="28"/>
          <w:szCs w:val="28"/>
          <w:lang w:val="en-US" w:eastAsia="zh-CN" w:bidi="ar-SA"/>
        </w:rPr>
        <w:t>评估思路</w:t>
      </w:r>
      <w:bookmarkEnd w:id="7"/>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根据国家、部委以及省厅有关文件的要求，并结合交通运输行业网站实际发展情况，调整了部分评估</w:t>
      </w:r>
      <w:r>
        <w:rPr>
          <w:rFonts w:ascii="仿宋_GB2312" w:eastAsia="仿宋_GB2312"/>
          <w:color w:val="000000"/>
          <w:sz w:val="28"/>
          <w:szCs w:val="28"/>
        </w:rPr>
        <w:t>指标，具体包括以下内容：</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（一）扩充了政务新媒体</w:t>
      </w:r>
      <w:r>
        <w:rPr>
          <w:rFonts w:ascii="仿宋_GB2312" w:eastAsia="仿宋_GB2312"/>
          <w:color w:val="000000"/>
          <w:sz w:val="28"/>
          <w:szCs w:val="28"/>
        </w:rPr>
        <w:t>评估指标</w:t>
      </w:r>
      <w:r>
        <w:rPr>
          <w:rFonts w:hint="eastAsia" w:ascii="仿宋_GB2312" w:eastAsia="仿宋_GB2312"/>
          <w:color w:val="000000"/>
          <w:sz w:val="28"/>
          <w:szCs w:val="28"/>
        </w:rPr>
        <w:t>内容</w:t>
      </w:r>
      <w:r>
        <w:rPr>
          <w:rFonts w:ascii="仿宋_GB2312" w:eastAsia="仿宋_GB2312"/>
          <w:color w:val="000000"/>
          <w:sz w:val="28"/>
          <w:szCs w:val="28"/>
        </w:rPr>
        <w:t>。采用国办秘函[2019]19号“政府网站与政务新媒体检查指标”中的</w:t>
      </w:r>
      <w:r>
        <w:rPr>
          <w:rFonts w:hint="eastAsia" w:ascii="仿宋_GB2312" w:eastAsia="仿宋_GB2312"/>
          <w:color w:val="000000"/>
          <w:sz w:val="28"/>
          <w:szCs w:val="28"/>
        </w:rPr>
        <w:t>部分</w:t>
      </w:r>
      <w:r>
        <w:rPr>
          <w:rFonts w:ascii="仿宋_GB2312" w:eastAsia="仿宋_GB2312"/>
          <w:color w:val="000000"/>
          <w:sz w:val="28"/>
          <w:szCs w:val="28"/>
        </w:rPr>
        <w:t>“</w:t>
      </w:r>
      <w:r>
        <w:rPr>
          <w:rFonts w:hint="eastAsia" w:ascii="仿宋_GB2312" w:eastAsia="仿宋_GB2312"/>
          <w:color w:val="000000"/>
          <w:sz w:val="28"/>
          <w:szCs w:val="28"/>
        </w:rPr>
        <w:t>政务新媒体</w:t>
      </w:r>
      <w:r>
        <w:rPr>
          <w:rFonts w:ascii="仿宋_GB2312" w:eastAsia="仿宋_GB2312"/>
          <w:color w:val="000000"/>
          <w:sz w:val="28"/>
          <w:szCs w:val="28"/>
        </w:rPr>
        <w:t>”</w:t>
      </w:r>
      <w:r>
        <w:rPr>
          <w:rFonts w:hint="eastAsia" w:ascii="仿宋_GB2312" w:eastAsia="仿宋_GB2312"/>
          <w:color w:val="000000"/>
          <w:sz w:val="28"/>
          <w:szCs w:val="28"/>
        </w:rPr>
        <w:t>指标</w:t>
      </w:r>
      <w:r>
        <w:rPr>
          <w:rFonts w:ascii="仿宋_GB2312" w:eastAsia="仿宋_GB2312"/>
          <w:color w:val="000000"/>
          <w:sz w:val="28"/>
          <w:szCs w:val="28"/>
        </w:rPr>
        <w:t>对</w:t>
      </w:r>
      <w:r>
        <w:rPr>
          <w:rFonts w:hint="eastAsia" w:ascii="仿宋_GB2312" w:eastAsia="仿宋_GB2312"/>
          <w:color w:val="000000"/>
          <w:sz w:val="28"/>
          <w:szCs w:val="28"/>
        </w:rPr>
        <w:t>所辖的政务新媒体账号进行</w:t>
      </w:r>
      <w:r>
        <w:rPr>
          <w:rFonts w:ascii="仿宋_GB2312" w:eastAsia="仿宋_GB2312"/>
          <w:color w:val="000000"/>
          <w:sz w:val="28"/>
          <w:szCs w:val="28"/>
        </w:rPr>
        <w:t>评估</w:t>
      </w:r>
      <w:r>
        <w:rPr>
          <w:rFonts w:hint="eastAsia" w:ascii="仿宋_GB2312" w:eastAsia="仿宋_GB2312"/>
          <w:color w:val="000000"/>
          <w:sz w:val="28"/>
          <w:szCs w:val="28"/>
        </w:rPr>
        <w:t>，增设了对新媒体账号原创信息、政策解读信息发布情况的考核。</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（二）优化了考核指标。延续往年评估思路，在原考核指标基础上，既有保留，又有创新，优化了指标权重，简化了部分考核内容，使评估指标更具引导性和操作性。</w:t>
      </w:r>
    </w:p>
    <w:p>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（三）取消了“材料报送指标”“主管单位考核指标”。作为网站评估的辅助方式，取消了材料报送和主管单位考核的指标，确保考核结果的客观性。</w:t>
      </w:r>
    </w:p>
    <w:p>
      <w:pPr>
        <w:widowControl w:val="0"/>
        <w:numPr>
          <w:ilvl w:val="0"/>
          <w:numId w:val="1"/>
        </w:numPr>
        <w:ind w:left="1282" w:hanging="720" w:firstLineChars="0"/>
        <w:jc w:val="both"/>
        <w:outlineLvl w:val="0"/>
        <w:rPr>
          <w:rFonts w:ascii="仿宋_GB2312" w:hAnsi="仿宋" w:eastAsia="仿宋_GB2312" w:cs="Times New Roman"/>
          <w:b/>
          <w:bCs/>
          <w:color w:val="000000"/>
          <w:kern w:val="2"/>
          <w:sz w:val="28"/>
          <w:szCs w:val="28"/>
          <w:lang w:val="en-US" w:eastAsia="zh-CN" w:bidi="ar-SA"/>
        </w:rPr>
      </w:pPr>
      <w:bookmarkStart w:id="8" w:name="_Toc127368201"/>
      <w:r>
        <w:rPr>
          <w:rFonts w:hint="eastAsia" w:ascii="仿宋_GB2312" w:hAnsi="仿宋" w:eastAsia="仿宋_GB2312" w:cs="Times New Roman"/>
          <w:b/>
          <w:bCs/>
          <w:color w:val="000000"/>
          <w:kern w:val="2"/>
          <w:sz w:val="28"/>
          <w:szCs w:val="28"/>
          <w:lang w:val="en-US" w:eastAsia="zh-CN" w:bidi="ar-SA"/>
        </w:rPr>
        <w:t>工作安排</w:t>
      </w:r>
      <w:bookmarkEnd w:id="8"/>
    </w:p>
    <w:p>
      <w:pPr>
        <w:ind w:firstLine="560" w:firstLineChars="200"/>
        <w:outlineLvl w:val="1"/>
        <w:rPr>
          <w:rFonts w:ascii="仿宋_GB2312" w:hAnsi="仿宋" w:eastAsia="仿宋_GB2312" w:cs="Times New Roman"/>
          <w:color w:val="000000"/>
          <w:sz w:val="28"/>
          <w:szCs w:val="28"/>
        </w:rPr>
      </w:pPr>
      <w:bookmarkStart w:id="9" w:name="_Toc127368202"/>
      <w:r>
        <w:rPr>
          <w:rFonts w:hint="eastAsia" w:ascii="仿宋_GB2312" w:hAnsi="仿宋" w:eastAsia="仿宋_GB2312" w:cs="Times New Roman"/>
          <w:color w:val="000000"/>
          <w:sz w:val="28"/>
          <w:szCs w:val="28"/>
        </w:rPr>
        <w:t>（一）网站优化整改</w:t>
      </w:r>
      <w:bookmarkEnd w:id="9"/>
    </w:p>
    <w:p>
      <w:pPr>
        <w:ind w:firstLine="560" w:firstLineChars="200"/>
        <w:rPr>
          <w:rFonts w:ascii="仿宋_GB2312" w:eastAsia="仿宋_GB2312"/>
          <w:color w:val="000000"/>
          <w:sz w:val="28"/>
          <w:szCs w:val="28"/>
        </w:rPr>
      </w:pPr>
      <w:r>
        <w:rPr>
          <w:rFonts w:ascii="仿宋_GB2312" w:eastAsia="仿宋_GB2312"/>
          <w:color w:val="000000"/>
          <w:sz w:val="28"/>
          <w:szCs w:val="28"/>
        </w:rPr>
        <w:t>2023年4</w:t>
      </w:r>
      <w:r>
        <w:rPr>
          <w:rFonts w:hint="eastAsia" w:ascii="仿宋_GB2312" w:eastAsia="仿宋_GB2312"/>
          <w:color w:val="000000"/>
          <w:sz w:val="28"/>
          <w:szCs w:val="28"/>
        </w:rPr>
        <w:t>-</w:t>
      </w:r>
      <w:r>
        <w:rPr>
          <w:rFonts w:ascii="仿宋_GB2312" w:eastAsia="仿宋_GB2312"/>
          <w:color w:val="000000"/>
          <w:sz w:val="28"/>
          <w:szCs w:val="28"/>
        </w:rPr>
        <w:t>5月，各</w:t>
      </w:r>
      <w:r>
        <w:rPr>
          <w:rFonts w:hint="eastAsia" w:ascii="仿宋_GB2312" w:eastAsia="仿宋_GB2312"/>
          <w:color w:val="000000"/>
          <w:sz w:val="28"/>
          <w:szCs w:val="28"/>
        </w:rPr>
        <w:t>受评单位</w:t>
      </w:r>
      <w:r>
        <w:rPr>
          <w:rFonts w:ascii="仿宋_GB2312" w:eastAsia="仿宋_GB2312"/>
          <w:color w:val="000000"/>
          <w:sz w:val="28"/>
          <w:szCs w:val="28"/>
        </w:rPr>
        <w:t>参照评估指标，对网站进行优化整改</w:t>
      </w:r>
      <w:r>
        <w:rPr>
          <w:rFonts w:hint="eastAsia" w:ascii="仿宋_GB2312" w:eastAsia="仿宋_GB2312"/>
          <w:color w:val="000000"/>
          <w:sz w:val="28"/>
          <w:szCs w:val="28"/>
        </w:rPr>
        <w:t>。</w:t>
      </w:r>
    </w:p>
    <w:p>
      <w:pPr>
        <w:ind w:firstLine="560" w:firstLineChars="200"/>
        <w:outlineLvl w:val="1"/>
        <w:rPr>
          <w:rFonts w:ascii="仿宋_GB2312" w:hAnsi="仿宋" w:eastAsia="仿宋_GB2312" w:cs="Times New Roman"/>
          <w:color w:val="000000"/>
          <w:sz w:val="28"/>
          <w:szCs w:val="28"/>
        </w:rPr>
      </w:pPr>
      <w:bookmarkStart w:id="10" w:name="_Toc127368203"/>
      <w:r>
        <w:rPr>
          <w:rFonts w:hint="eastAsia" w:ascii="仿宋_GB2312" w:hAnsi="仿宋" w:eastAsia="仿宋_GB2312" w:cs="Times New Roman"/>
          <w:color w:val="000000"/>
          <w:sz w:val="28"/>
          <w:szCs w:val="28"/>
        </w:rPr>
        <w:t>（二）网站和新媒体预评估</w:t>
      </w:r>
      <w:bookmarkEnd w:id="10"/>
    </w:p>
    <w:p>
      <w:pPr>
        <w:ind w:firstLine="560" w:firstLineChars="200"/>
        <w:rPr>
          <w:rFonts w:ascii="仿宋_GB2312" w:eastAsia="仿宋_GB2312"/>
          <w:color w:val="000000"/>
          <w:sz w:val="28"/>
          <w:szCs w:val="28"/>
        </w:rPr>
      </w:pPr>
      <w:r>
        <w:rPr>
          <w:rFonts w:ascii="仿宋_GB2312" w:eastAsia="仿宋_GB2312"/>
          <w:color w:val="000000"/>
          <w:sz w:val="28"/>
          <w:szCs w:val="28"/>
        </w:rPr>
        <w:t>2023年6</w:t>
      </w:r>
      <w:r>
        <w:rPr>
          <w:rFonts w:hint="eastAsia" w:ascii="仿宋_GB2312" w:eastAsia="仿宋_GB2312"/>
          <w:color w:val="000000"/>
          <w:sz w:val="28"/>
          <w:szCs w:val="28"/>
        </w:rPr>
        <w:t>-</w:t>
      </w:r>
      <w:r>
        <w:rPr>
          <w:rFonts w:ascii="仿宋_GB2312" w:eastAsia="仿宋_GB2312"/>
          <w:color w:val="000000"/>
          <w:sz w:val="28"/>
          <w:szCs w:val="28"/>
        </w:rPr>
        <w:t>7月，</w:t>
      </w:r>
      <w:r>
        <w:rPr>
          <w:rFonts w:hint="eastAsia" w:ascii="仿宋_GB2312" w:eastAsia="仿宋_GB2312"/>
          <w:color w:val="000000"/>
          <w:sz w:val="28"/>
          <w:szCs w:val="28"/>
        </w:rPr>
        <w:t>组织专业技术团队，针对评估对象开展网站和政务新媒体预评估工作。</w:t>
      </w:r>
    </w:p>
    <w:p>
      <w:pPr>
        <w:ind w:firstLine="560" w:firstLineChars="200"/>
        <w:outlineLvl w:val="1"/>
        <w:rPr>
          <w:rFonts w:ascii="仿宋_GB2312" w:hAnsi="仿宋" w:eastAsia="仿宋_GB2312" w:cs="Times New Roman"/>
          <w:color w:val="000000"/>
          <w:sz w:val="28"/>
          <w:szCs w:val="28"/>
        </w:rPr>
      </w:pPr>
      <w:bookmarkStart w:id="11" w:name="_Toc127368204"/>
      <w:r>
        <w:rPr>
          <w:rFonts w:hint="eastAsia" w:ascii="仿宋_GB2312" w:hAnsi="仿宋" w:eastAsia="仿宋_GB2312" w:cs="Times New Roman"/>
          <w:color w:val="000000"/>
          <w:sz w:val="28"/>
          <w:szCs w:val="28"/>
        </w:rPr>
        <w:t>（三）网站和新媒体检查结果复核</w:t>
      </w:r>
      <w:bookmarkEnd w:id="11"/>
      <w:r>
        <w:rPr>
          <w:rFonts w:ascii="仿宋_GB2312" w:hAnsi="仿宋" w:eastAsia="仿宋_GB2312" w:cs="Times New Roman"/>
          <w:color w:val="000000"/>
          <w:sz w:val="28"/>
          <w:szCs w:val="28"/>
        </w:rPr>
        <w:t xml:space="preserve"> </w:t>
      </w:r>
    </w:p>
    <w:p>
      <w:pPr>
        <w:ind w:firstLine="560" w:firstLineChars="200"/>
        <w:rPr>
          <w:rFonts w:ascii="仿宋_GB2312" w:eastAsia="仿宋_GB2312"/>
          <w:color w:val="000000"/>
          <w:sz w:val="28"/>
          <w:szCs w:val="28"/>
        </w:rPr>
      </w:pPr>
      <w:r>
        <w:rPr>
          <w:rFonts w:ascii="仿宋_GB2312" w:eastAsia="仿宋_GB2312"/>
          <w:color w:val="000000"/>
          <w:sz w:val="28"/>
          <w:szCs w:val="28"/>
        </w:rPr>
        <w:t>2023年9月，</w:t>
      </w:r>
      <w:r>
        <w:rPr>
          <w:rFonts w:hint="eastAsia" w:ascii="仿宋_GB2312" w:eastAsia="仿宋_GB2312"/>
          <w:color w:val="000000"/>
          <w:sz w:val="28"/>
          <w:szCs w:val="28"/>
        </w:rPr>
        <w:t>开展网站和政务新媒体预评估结果复核工作。</w:t>
      </w:r>
    </w:p>
    <w:p>
      <w:pPr>
        <w:ind w:firstLine="560" w:firstLineChars="200"/>
        <w:outlineLvl w:val="1"/>
        <w:rPr>
          <w:rFonts w:ascii="仿宋_GB2312" w:hAnsi="仿宋" w:eastAsia="仿宋_GB2312" w:cs="Times New Roman"/>
          <w:color w:val="000000"/>
          <w:sz w:val="28"/>
          <w:szCs w:val="28"/>
        </w:rPr>
      </w:pPr>
      <w:bookmarkStart w:id="12" w:name="_Toc127368205"/>
      <w:r>
        <w:rPr>
          <w:rFonts w:hint="eastAsia" w:ascii="仿宋_GB2312" w:hAnsi="仿宋" w:eastAsia="仿宋_GB2312" w:cs="Times New Roman"/>
          <w:color w:val="000000"/>
          <w:sz w:val="28"/>
          <w:szCs w:val="28"/>
        </w:rPr>
        <w:t>（四）综合评估</w:t>
      </w:r>
      <w:bookmarkEnd w:id="12"/>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023</w:t>
      </w:r>
      <w:r>
        <w:rPr>
          <w:rFonts w:hint="eastAsia" w:ascii="仿宋_GB2312" w:eastAsia="仿宋_GB2312"/>
          <w:color w:val="000000"/>
          <w:sz w:val="28"/>
          <w:szCs w:val="28"/>
        </w:rPr>
        <w:t>年1</w:t>
      </w:r>
      <w:r>
        <w:rPr>
          <w:rFonts w:ascii="仿宋_GB2312" w:eastAsia="仿宋_GB2312"/>
          <w:color w:val="000000"/>
          <w:sz w:val="28"/>
          <w:szCs w:val="28"/>
        </w:rPr>
        <w:t>2</w:t>
      </w:r>
      <w:r>
        <w:rPr>
          <w:rFonts w:hint="eastAsia" w:ascii="仿宋_GB2312" w:eastAsia="仿宋_GB2312"/>
          <w:color w:val="000000"/>
          <w:sz w:val="28"/>
          <w:szCs w:val="28"/>
        </w:rPr>
        <w:t>月-</w:t>
      </w:r>
      <w:r>
        <w:rPr>
          <w:rFonts w:ascii="仿宋_GB2312" w:eastAsia="仿宋_GB2312"/>
          <w:color w:val="000000"/>
          <w:sz w:val="28"/>
          <w:szCs w:val="28"/>
        </w:rPr>
        <w:t>2024</w:t>
      </w:r>
      <w:r>
        <w:rPr>
          <w:rFonts w:hint="eastAsia" w:ascii="仿宋_GB2312" w:eastAsia="仿宋_GB2312"/>
          <w:color w:val="000000"/>
          <w:sz w:val="28"/>
          <w:szCs w:val="28"/>
        </w:rPr>
        <w:t>年1月，形成评估总报告和本单位分报告，并通报评估结果，对综合表现优秀的政府网站给予表彰。</w:t>
      </w:r>
    </w:p>
    <w:p>
      <w:pPr>
        <w:widowControl w:val="0"/>
        <w:numPr>
          <w:ilvl w:val="0"/>
          <w:numId w:val="1"/>
        </w:numPr>
        <w:ind w:left="1282" w:hanging="720" w:firstLineChars="0"/>
        <w:jc w:val="both"/>
        <w:outlineLvl w:val="0"/>
        <w:rPr>
          <w:rFonts w:ascii="仿宋_GB2312" w:hAnsi="仿宋" w:eastAsia="仿宋_GB2312" w:cs="Times New Roman"/>
          <w:b/>
          <w:bCs/>
          <w:color w:val="000000"/>
          <w:kern w:val="2"/>
          <w:sz w:val="28"/>
          <w:szCs w:val="28"/>
          <w:lang w:val="en-US" w:eastAsia="zh-CN" w:bidi="ar-SA"/>
        </w:rPr>
      </w:pPr>
      <w:bookmarkStart w:id="13" w:name="_Toc127368206"/>
      <w:r>
        <w:rPr>
          <w:rFonts w:hint="eastAsia" w:ascii="仿宋_GB2312" w:hAnsi="仿宋" w:eastAsia="仿宋_GB2312" w:cs="Times New Roman"/>
          <w:b/>
          <w:bCs/>
          <w:color w:val="000000"/>
          <w:kern w:val="2"/>
          <w:sz w:val="28"/>
          <w:szCs w:val="28"/>
          <w:lang w:val="en-US" w:eastAsia="zh-CN" w:bidi="ar-SA"/>
        </w:rPr>
        <w:t>评估指标</w:t>
      </w:r>
      <w:bookmarkEnd w:id="13"/>
    </w:p>
    <w:p>
      <w:pPr>
        <w:spacing w:before="156" w:beforeLines="50" w:after="156" w:afterLines="50" w:line="360" w:lineRule="auto"/>
        <w:outlineLvl w:val="1"/>
        <w:rPr>
          <w:rFonts w:ascii="仿宋_GB2312" w:hAnsi="宋体" w:eastAsia="仿宋_GB2312"/>
          <w:color w:val="000000"/>
          <w:sz w:val="28"/>
          <w:szCs w:val="28"/>
        </w:rPr>
      </w:pPr>
      <w:bookmarkStart w:id="14" w:name="_Toc127368207"/>
      <w:r>
        <w:rPr>
          <w:rFonts w:hint="eastAsia" w:ascii="仿宋_GB2312" w:hAnsi="宋体" w:eastAsia="仿宋_GB2312"/>
          <w:color w:val="000000"/>
          <w:sz w:val="28"/>
          <w:szCs w:val="28"/>
        </w:rPr>
        <w:t>（一）20</w:t>
      </w:r>
      <w:r>
        <w:rPr>
          <w:rFonts w:ascii="仿宋_GB2312" w:hAnsi="宋体" w:eastAsia="仿宋_GB2312"/>
          <w:color w:val="000000"/>
          <w:sz w:val="28"/>
          <w:szCs w:val="28"/>
        </w:rPr>
        <w:t>23</w:t>
      </w:r>
      <w:r>
        <w:rPr>
          <w:rFonts w:hint="eastAsia" w:ascii="仿宋_GB2312" w:hAnsi="宋体" w:eastAsia="仿宋_GB2312"/>
          <w:color w:val="000000"/>
          <w:sz w:val="28"/>
          <w:szCs w:val="28"/>
        </w:rPr>
        <w:t>年陕西省交通运输系统门户网站绩效评估指标（地市交通局）</w:t>
      </w:r>
      <w:bookmarkEnd w:id="14"/>
    </w:p>
    <w:tbl>
      <w:tblPr>
        <w:tblStyle w:val="4"/>
        <w:tblW w:w="8784" w:type="dxa"/>
        <w:jc w:val="center"/>
        <w:tblLayout w:type="autofit"/>
        <w:tblCellMar>
          <w:top w:w="0" w:type="dxa"/>
          <w:left w:w="108" w:type="dxa"/>
          <w:bottom w:w="0" w:type="dxa"/>
          <w:right w:w="108" w:type="dxa"/>
        </w:tblCellMar>
      </w:tblPr>
      <w:tblGrid>
        <w:gridCol w:w="1060"/>
        <w:gridCol w:w="1204"/>
        <w:gridCol w:w="1276"/>
        <w:gridCol w:w="1275"/>
        <w:gridCol w:w="2835"/>
        <w:gridCol w:w="1134"/>
      </w:tblGrid>
      <w:tr>
        <w:tblPrEx>
          <w:tblCellMar>
            <w:top w:w="0" w:type="dxa"/>
            <w:left w:w="108" w:type="dxa"/>
            <w:bottom w:w="0" w:type="dxa"/>
            <w:right w:w="108" w:type="dxa"/>
          </w:tblCellMar>
        </w:tblPrEx>
        <w:trPr>
          <w:trHeight w:val="615" w:hRule="atLeast"/>
          <w:tblHeader/>
          <w:jc w:val="center"/>
        </w:trPr>
        <w:tc>
          <w:tcPr>
            <w:tcW w:w="106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eastAsia="宋体" w:cs="Tahoma"/>
                <w:b/>
                <w:bCs/>
                <w:color w:val="000000"/>
                <w:kern w:val="0"/>
                <w:sz w:val="20"/>
                <w:szCs w:val="20"/>
              </w:rPr>
            </w:pPr>
            <w:r>
              <w:rPr>
                <w:rFonts w:hint="eastAsia" w:ascii="宋体" w:hAnsi="宋体" w:eastAsia="宋体" w:cs="Tahoma"/>
                <w:b/>
                <w:bCs/>
                <w:color w:val="000000"/>
                <w:kern w:val="0"/>
                <w:sz w:val="20"/>
                <w:szCs w:val="20"/>
              </w:rPr>
              <w:t>一级指标</w:t>
            </w:r>
          </w:p>
        </w:tc>
        <w:tc>
          <w:tcPr>
            <w:tcW w:w="1204"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hint="eastAsia" w:ascii="宋体" w:hAnsi="宋体" w:eastAsia="宋体" w:cs="Tahoma"/>
                <w:b/>
                <w:bCs/>
                <w:color w:val="000000"/>
                <w:kern w:val="0"/>
                <w:sz w:val="20"/>
                <w:szCs w:val="20"/>
              </w:rPr>
            </w:pPr>
            <w:r>
              <w:rPr>
                <w:rFonts w:hint="eastAsia" w:ascii="宋体" w:hAnsi="宋体" w:eastAsia="宋体" w:cs="Tahoma"/>
                <w:b/>
                <w:bCs/>
                <w:color w:val="000000"/>
                <w:kern w:val="0"/>
                <w:sz w:val="20"/>
                <w:szCs w:val="20"/>
              </w:rPr>
              <w:t>二级指标</w:t>
            </w:r>
          </w:p>
        </w:tc>
        <w:tc>
          <w:tcPr>
            <w:tcW w:w="1276"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hint="eastAsia" w:ascii="宋体" w:hAnsi="宋体" w:eastAsia="宋体" w:cs="Tahoma"/>
                <w:b/>
                <w:bCs/>
                <w:color w:val="000000"/>
                <w:kern w:val="0"/>
                <w:sz w:val="20"/>
                <w:szCs w:val="20"/>
              </w:rPr>
            </w:pPr>
            <w:r>
              <w:rPr>
                <w:rFonts w:hint="eastAsia" w:ascii="宋体" w:hAnsi="宋体" w:eastAsia="宋体" w:cs="Tahoma"/>
                <w:b/>
                <w:bCs/>
                <w:color w:val="000000"/>
                <w:kern w:val="0"/>
                <w:sz w:val="20"/>
                <w:szCs w:val="20"/>
              </w:rPr>
              <w:t>三级指标</w:t>
            </w:r>
          </w:p>
        </w:tc>
        <w:tc>
          <w:tcPr>
            <w:tcW w:w="127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hint="eastAsia" w:ascii="宋体" w:hAnsi="宋体" w:eastAsia="宋体" w:cs="Tahoma"/>
                <w:b/>
                <w:bCs/>
                <w:color w:val="000000"/>
                <w:kern w:val="0"/>
                <w:sz w:val="20"/>
                <w:szCs w:val="20"/>
              </w:rPr>
            </w:pPr>
            <w:r>
              <w:rPr>
                <w:rFonts w:hint="eastAsia" w:ascii="宋体" w:hAnsi="宋体" w:eastAsia="宋体" w:cs="Tahoma"/>
                <w:b/>
                <w:bCs/>
                <w:color w:val="000000"/>
                <w:kern w:val="0"/>
                <w:sz w:val="20"/>
                <w:szCs w:val="20"/>
              </w:rPr>
              <w:t>四级指标</w:t>
            </w:r>
          </w:p>
        </w:tc>
        <w:tc>
          <w:tcPr>
            <w:tcW w:w="283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hint="eastAsia" w:ascii="宋体" w:hAnsi="宋体" w:eastAsia="宋体" w:cs="Tahoma"/>
                <w:b/>
                <w:bCs/>
                <w:color w:val="000000"/>
                <w:kern w:val="0"/>
                <w:sz w:val="20"/>
                <w:szCs w:val="20"/>
              </w:rPr>
            </w:pPr>
            <w:r>
              <w:rPr>
                <w:rFonts w:hint="eastAsia" w:ascii="宋体" w:hAnsi="宋体" w:eastAsia="宋体" w:cs="Tahoma"/>
                <w:b/>
                <w:bCs/>
                <w:color w:val="000000"/>
                <w:kern w:val="0"/>
                <w:sz w:val="20"/>
                <w:szCs w:val="20"/>
              </w:rPr>
              <w:t>评估点</w:t>
            </w:r>
          </w:p>
        </w:tc>
        <w:tc>
          <w:tcPr>
            <w:tcW w:w="1134"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hint="eastAsia" w:ascii="宋体" w:hAnsi="宋体" w:eastAsia="宋体" w:cs="Tahoma"/>
                <w:b/>
                <w:bCs/>
                <w:color w:val="000000"/>
                <w:kern w:val="0"/>
                <w:sz w:val="20"/>
                <w:szCs w:val="20"/>
              </w:rPr>
            </w:pPr>
            <w:r>
              <w:rPr>
                <w:rFonts w:hint="eastAsia" w:ascii="宋体" w:hAnsi="宋体" w:eastAsia="宋体" w:cs="Tahoma"/>
                <w:b/>
                <w:bCs/>
                <w:color w:val="000000"/>
                <w:kern w:val="0"/>
                <w:sz w:val="20"/>
                <w:szCs w:val="20"/>
              </w:rPr>
              <w:t>采样方式</w:t>
            </w:r>
          </w:p>
        </w:tc>
      </w:tr>
      <w:tr>
        <w:tblPrEx>
          <w:tblCellMar>
            <w:top w:w="0" w:type="dxa"/>
            <w:left w:w="108" w:type="dxa"/>
            <w:bottom w:w="0" w:type="dxa"/>
            <w:right w:w="108" w:type="dxa"/>
          </w:tblCellMar>
        </w:tblPrEx>
        <w:trPr>
          <w:trHeight w:val="600" w:hRule="atLeast"/>
          <w:jc w:val="center"/>
        </w:trPr>
        <w:tc>
          <w:tcPr>
            <w:tcW w:w="10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政府信息公开</w:t>
            </w:r>
          </w:p>
        </w:tc>
        <w:tc>
          <w:tcPr>
            <w:tcW w:w="120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基础信息公开</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机构职能</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组织机构</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开设组织机构类栏目，公开本单位职能、内设机构、办公地址、办公时间、联系方式。</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78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领导介绍</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公开主要领导姓名、照片、简历、主管或分管工作以及重要讲话文稿信息。</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3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政务动态</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栏目更新情况</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监测时间点前2周内，动态类栏目及时更新。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3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通知公告</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栏目更新情况</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监测时间点前6个月内，通知公告类栏目及时更新。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3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政策文件</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栏目更新情况</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监测时间点前6个月内，政策文件类栏目及时更新。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81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文件有效性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及时公开本单位政策性文件的废止、失效等情况，并在网站已发布的原文件上作出明确标注。</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6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专题专栏</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专题归档情况</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专项工作结束时，相关专题要从首页显著位置撤下并标注归档标识，集中保留至专题区，便于公众查看使用。</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79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应更新但长期未更新的栏目</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栏目更新情况</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网站中不存在应更新但长期未更新的栏目、空白栏目。</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499"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重点领域信息公开</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财政资金</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渠道建设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开设财政资金类栏目。</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73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财政预决算</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公开本部门2023年财政预决算及“三公”经费信息。</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499"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招投标信息</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渠道建设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开设项目招投标类栏目。</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499"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招投标及中标信息</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公开本年度项目招标公告、中标结果信息。</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4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安全与应急信息</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渠道建设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开设安全与应急类栏目。</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5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应急预案及应急管理</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公开交通运输突发事件应急预案和应急管理信息。</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499"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信用信息</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渠道建设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开设信用信息类栏目。</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85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信用评价结果</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公开交通运输行业从业企业信用评价结果及失信行为“黑名单”。</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7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信息公开保障</w:t>
            </w:r>
          </w:p>
        </w:tc>
        <w:tc>
          <w:tcPr>
            <w:tcW w:w="127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信息公开指南</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渠道建设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编制并更新信息公开指南。</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111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指南内容</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明确提供信息公开工作机构信息，包括机构名称、办公地址、办公时间、联系电话、传真号码、电子邮箱等，明确提供信息的分类、编排体系和获取方式。</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97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明确提供政府信息获取渠道的情况，包括政府网站的网址、政务新媒体的账号、政府信息查阅场所的地址等。</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78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信息公开年报</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栏目开设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按时在“政府信息公开”专栏发布上年度政府信息公开年报。</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78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内容完整性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年报格式规范，要素齐全。</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78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年报质量</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年报数据真实有效、不存在雷同现象。</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73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信息公开制度</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渠道建设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公开本单位信息公开制度。</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9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依申请公开</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申请渠道</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栏目设置</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设置依申请公开栏目。</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9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申请渠道多样化、有效性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开设网络、信函及现场申请渠道。</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9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申请渠道畅通、可用。</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9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答复情况</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答复时限</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在法定期限内答复。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9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答复形式规范化</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按申请人要求的方式答复。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9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有规范的答复模式，答复加盖公章。</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9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向申请人明示救济途径。</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4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答复内容规范化</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属于公开范围的，是否向申请人提供信息或告知获取途径。</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9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不属于公开范围的，是否告知不公开理由和依据。</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0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不属于本机关公开的，是否告知公开机关的名称和联系方式。</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8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申请内容不明确的，是否告知申请人作出更改、补充。</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90" w:hRule="atLeast"/>
          <w:jc w:val="center"/>
        </w:trPr>
        <w:tc>
          <w:tcPr>
            <w:tcW w:w="10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回应社会关切</w:t>
            </w:r>
          </w:p>
        </w:tc>
        <w:tc>
          <w:tcPr>
            <w:tcW w:w="120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政策解读</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解读材料</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原文关联性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解读材料与原政策文件相关联。</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88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解读形式</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形式多样性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专业性较强的政策通过政策图解、动画、视频等形式进行形象化、通俗化解读。</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9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解读时效</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解读材料是否在政策文件发布之日起3个工作日内发布。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5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互动交流</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咨询建言类</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渠道建设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开设咨询类栏目，功能可用。</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1058"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活动组织</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监测时间点前2个月内，咨询建言类栏目（网上信访、纪检举报等专门渠道除外）提供有效的信件、留言。</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85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回复情况</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模拟用户进行简单常见问题咨询：</w:t>
            </w:r>
          </w:p>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咨询类留言一般在5个工作日内回复；留言回复具体、详细，无推诿、敷衍等现象。</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499"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调查征集类</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渠道建设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开设调查征集类栏目，功能可用。</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0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栏目更新</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监测时间点前1年内，栏目更新及时。</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499"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调查统计</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提供调查统计分析结果。</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75" w:hRule="atLeast"/>
          <w:jc w:val="center"/>
        </w:trPr>
        <w:tc>
          <w:tcPr>
            <w:tcW w:w="10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便民服务</w:t>
            </w:r>
          </w:p>
        </w:tc>
        <w:tc>
          <w:tcPr>
            <w:tcW w:w="120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办事服务</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统一入口</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网上办事服务统一入口</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市级部门网站办事栏目统一链接至市政务服务网，形成统一服务入口。</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5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办事指南</w:t>
            </w:r>
          </w:p>
        </w:tc>
        <w:tc>
          <w:tcPr>
            <w:tcW w:w="127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办事指南基本信息</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网站公开服务事项的，办事指南与政务服务网实现同源。</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893"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办事指南重点要素类别（包括事项名称、设定依据、申请条件、办理材料、办理地点、办理机构、收费标准、办理时间、咨询方式/投诉方式、办理流程）是否齐全。</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5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办理材料格式要求是否明确（如未说明原件/复印件、纸质版/电子版、份数等）。</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5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是否存在表述含糊不清的情形（如“根据有关法律法规规定应提交的其他材料”等表述）。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5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是否存在办事指南中提到的政策文件仅有名称、未说明具体内容的情形。</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5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办事指南内容准确度</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服务事项办事指南信息（如咨询电话、投诉电话等）是否存在错误，或与实际办事要求是否保持一致。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5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表格样表提供情况</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服务事项办事指南要求办事人提供申请表、申请书等表格的，是否提供表格获取渠道。</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5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提供的申请表、申请书等表格（命名、格式、内容等）是否规范。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5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信息查询服务</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公共交通出行</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公交车服务</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提供辖区范围内公交车服务信息，包括起始时间、票价、停靠站点及IC卡使用情况。</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55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出租车服务</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提供辖区范围内出租车出行信息，包括企业信息、车辆信息、驾驶员信息等。</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499"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客运服务</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提供辖区范围内中、长途公共交通出行客运站点、客运班线、收费价格等查询服务。</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499"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火车站服务</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提供辖区范围内火车站信息，包括名称、地理位置、交通指南等。</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0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自驾出行</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路况信息</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及时提供公路路况信息，重点提供高速公路封闭、道路施工养护等公路路况信息。</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1133"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线路查询</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提供辖区内两地间出行线路查询，出行线路涵盖线路的起点、终点、途经地点（包括高速公路服务区、收费站、加油站、维修站等交通基础设施信息）、里程、参考收费等信息。</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81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交通运输从业资质证件</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从业人员资质</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提供交通运输行业监理、检测、安全生产、道路运输、机动车驾驶教练员等职业（或执业）从业人员信息查询。</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0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企业资质</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提供交通运输行业开设工程监理、试验检测、公路养护、维修等企业信息查询。</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6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危险品企业、人员资质</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提供辖区内危险品运输企业、人员查询。</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60" w:hRule="atLeast"/>
          <w:jc w:val="center"/>
        </w:trPr>
        <w:tc>
          <w:tcPr>
            <w:tcW w:w="106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网站设计及功能</w:t>
            </w:r>
          </w:p>
        </w:tc>
        <w:tc>
          <w:tcPr>
            <w:tcW w:w="1204"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网页设计规范</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浏览器兼容性</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浏览器兼容性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采用多种浏览器，网站能够正常访问、正常显示，网站页面、功能实时可用；页面保持整齐不变形,不出现文字错行、表格错位、功能和控件不可用等情况。</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85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网站内容展示情况</w:t>
            </w:r>
          </w:p>
        </w:tc>
        <w:tc>
          <w:tcPr>
            <w:tcW w:w="127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域名名称</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网站以本部门名称命名，在全站页面头部区域显著展示。</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85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网站域名符合规范要求。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85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网页展现</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网站内容清晰展示发布时间，时间格式为YYYY-MM-DD HH∶MM；文章页标明信息来源，并具备转载分享功能。</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85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网站页面内容便于复制、保存和打印。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85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网站尽量避免使用悬浮、闪烁等方式，确需使用悬浮框的，应具备关闭功能。</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136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网站标识规范情况</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内容完整性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首页底部功能区列明党政机关网站标识、网站标识码、网站主办单位及联系方式、ICP备案编号、公安机关备案标识等内容，提供的链接信息准确有效。</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1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页面一致性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网站各页面的头部标识区和底部功能区与首页保持一致。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1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tcBorders>
              <w:top w:val="nil"/>
              <w:left w:val="nil"/>
              <w:bottom w:val="nil"/>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　</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页面标签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随机抽查网站内容或栏目页面，站点标签或内容标签准确、符合要求。</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1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网站功能建设</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网站建设情况</w:t>
            </w:r>
          </w:p>
        </w:tc>
        <w:tc>
          <w:tcPr>
            <w:tcW w:w="127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我为政府网站找错</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网站底部功能区是否规范添加“我为政府网站找错”入口。</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900"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对网民通过“我为政府网站找错”平台提交的留言，是否在3个工作日内规范、高效办结；是否因存在答复内容质量不高，有推诿、敷衍等现象引发严重负面舆情。</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1170"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nil"/>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网站地图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首页底部功能区提供网站地图，功能易用，导航准确。网站地图栏目架构与网站现有栏目架构保持一致。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7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站内搜索</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渠道建设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网站头部标识区是否醒目提供实时可用的全网站搜索功能入口。</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67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功能可用性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随机选取4条网站已发布的信息或服务的标题进行测试，在搜索结果第一页是否成功找到该内容。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79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搜索结果是否实现分类展现。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79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安全运行</w:t>
            </w:r>
          </w:p>
        </w:tc>
        <w:tc>
          <w:tcPr>
            <w:tcW w:w="127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链接可用性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网站链接能够正常访问情况（包括图片、附件等）。</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705"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网站错误</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网站存在（严重）错别字、虚假或伪造内容以及反动、暴力、色情内容等情况。</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960" w:hRule="atLeast"/>
          <w:jc w:val="center"/>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安全漏洞</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网站存在高危漏洞（如SQL注入漏洞、XSS漏洞、网站组件漏洞、安全配置漏洞等），造成重大影响的情况。</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r>
        <w:tblPrEx>
          <w:tblCellMar>
            <w:top w:w="0" w:type="dxa"/>
            <w:left w:w="108" w:type="dxa"/>
            <w:bottom w:w="0" w:type="dxa"/>
            <w:right w:w="108" w:type="dxa"/>
          </w:tblCellMar>
        </w:tblPrEx>
        <w:trPr>
          <w:trHeight w:val="1005" w:hRule="atLeast"/>
          <w:jc w:val="center"/>
        </w:trPr>
        <w:tc>
          <w:tcPr>
            <w:tcW w:w="10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基层政务公开标准化规范化</w:t>
            </w:r>
          </w:p>
        </w:tc>
        <w:tc>
          <w:tcPr>
            <w:tcW w:w="120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推进基层政务公开标准化规范化情况</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是否根据国家部委已发布的基层政务公开标准指引，及时制定交通运输领域工作指南并向社会公开。</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政府网站</w:t>
            </w:r>
          </w:p>
        </w:tc>
      </w:tr>
    </w:tbl>
    <w:p>
      <w:pPr>
        <w:spacing w:before="156" w:beforeLines="50" w:after="156" w:afterLines="50" w:line="360" w:lineRule="auto"/>
        <w:outlineLvl w:val="1"/>
        <w:rPr>
          <w:rFonts w:ascii="仿宋_GB2312" w:hAnsi="宋体" w:eastAsia="仿宋_GB2312"/>
          <w:color w:val="000000"/>
          <w:sz w:val="28"/>
          <w:szCs w:val="28"/>
        </w:rPr>
      </w:pPr>
      <w:bookmarkStart w:id="15" w:name="_Toc127368208"/>
      <w:r>
        <w:rPr>
          <w:rFonts w:hint="eastAsia" w:ascii="仿宋_GB2312" w:hAnsi="宋体" w:eastAsia="仿宋_GB2312"/>
          <w:color w:val="000000"/>
          <w:sz w:val="28"/>
          <w:szCs w:val="28"/>
        </w:rPr>
        <w:t>（二）20</w:t>
      </w:r>
      <w:r>
        <w:rPr>
          <w:rFonts w:ascii="仿宋_GB2312" w:hAnsi="宋体" w:eastAsia="仿宋_GB2312"/>
          <w:color w:val="000000"/>
          <w:sz w:val="28"/>
          <w:szCs w:val="28"/>
        </w:rPr>
        <w:t>23</w:t>
      </w:r>
      <w:r>
        <w:rPr>
          <w:rFonts w:hint="eastAsia" w:ascii="仿宋_GB2312" w:hAnsi="宋体" w:eastAsia="仿宋_GB2312"/>
          <w:color w:val="000000"/>
          <w:sz w:val="28"/>
          <w:szCs w:val="28"/>
        </w:rPr>
        <w:t>年陕西省交通运输系统门户网站绩效评估指标（厅直事业单位）</w:t>
      </w:r>
      <w:bookmarkEnd w:id="15"/>
    </w:p>
    <w:tbl>
      <w:tblPr>
        <w:tblStyle w:val="4"/>
        <w:tblW w:w="8784" w:type="dxa"/>
        <w:jc w:val="center"/>
        <w:tblLayout w:type="autofit"/>
        <w:tblCellMar>
          <w:top w:w="0" w:type="dxa"/>
          <w:left w:w="108" w:type="dxa"/>
          <w:bottom w:w="0" w:type="dxa"/>
          <w:right w:w="108" w:type="dxa"/>
        </w:tblCellMar>
      </w:tblPr>
      <w:tblGrid>
        <w:gridCol w:w="1080"/>
        <w:gridCol w:w="1260"/>
        <w:gridCol w:w="1057"/>
        <w:gridCol w:w="1276"/>
        <w:gridCol w:w="2835"/>
        <w:gridCol w:w="1276"/>
      </w:tblGrid>
      <w:tr>
        <w:trPr>
          <w:trHeight w:val="600" w:hRule="atLeast"/>
          <w:tblHeader/>
          <w:jc w:val="center"/>
        </w:trPr>
        <w:tc>
          <w:tcPr>
            <w:tcW w:w="108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eastAsia="宋体" w:cs="Tahoma"/>
                <w:b/>
                <w:bCs/>
                <w:color w:val="000000"/>
                <w:kern w:val="0"/>
                <w:sz w:val="20"/>
                <w:szCs w:val="20"/>
              </w:rPr>
            </w:pPr>
            <w:r>
              <w:rPr>
                <w:rFonts w:hint="eastAsia" w:ascii="宋体" w:hAnsi="宋体" w:eastAsia="宋体" w:cs="Tahoma"/>
                <w:b/>
                <w:bCs/>
                <w:color w:val="000000"/>
                <w:kern w:val="0"/>
                <w:sz w:val="20"/>
                <w:szCs w:val="20"/>
              </w:rPr>
              <w:t>一级指标</w:t>
            </w:r>
          </w:p>
        </w:tc>
        <w:tc>
          <w:tcPr>
            <w:tcW w:w="126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hint="eastAsia" w:ascii="宋体" w:hAnsi="宋体" w:eastAsia="宋体" w:cs="Tahoma"/>
                <w:b/>
                <w:bCs/>
                <w:color w:val="000000"/>
                <w:kern w:val="0"/>
                <w:sz w:val="20"/>
                <w:szCs w:val="20"/>
              </w:rPr>
            </w:pPr>
            <w:r>
              <w:rPr>
                <w:rFonts w:hint="eastAsia" w:ascii="宋体" w:hAnsi="宋体" w:eastAsia="宋体" w:cs="Tahoma"/>
                <w:b/>
                <w:bCs/>
                <w:color w:val="000000"/>
                <w:kern w:val="0"/>
                <w:sz w:val="20"/>
                <w:szCs w:val="20"/>
              </w:rPr>
              <w:t>二级指标</w:t>
            </w:r>
          </w:p>
        </w:tc>
        <w:tc>
          <w:tcPr>
            <w:tcW w:w="1057"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hint="eastAsia" w:ascii="宋体" w:hAnsi="宋体" w:eastAsia="宋体" w:cs="Tahoma"/>
                <w:b/>
                <w:bCs/>
                <w:color w:val="000000"/>
                <w:kern w:val="0"/>
                <w:sz w:val="20"/>
                <w:szCs w:val="20"/>
              </w:rPr>
            </w:pPr>
            <w:r>
              <w:rPr>
                <w:rFonts w:hint="eastAsia" w:ascii="宋体" w:hAnsi="宋体" w:eastAsia="宋体" w:cs="Tahoma"/>
                <w:b/>
                <w:bCs/>
                <w:color w:val="000000"/>
                <w:kern w:val="0"/>
                <w:sz w:val="20"/>
                <w:szCs w:val="20"/>
              </w:rPr>
              <w:t>三级指标</w:t>
            </w:r>
          </w:p>
        </w:tc>
        <w:tc>
          <w:tcPr>
            <w:tcW w:w="1276"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hint="eastAsia" w:ascii="宋体" w:hAnsi="宋体" w:eastAsia="宋体" w:cs="Tahoma"/>
                <w:b/>
                <w:bCs/>
                <w:color w:val="000000"/>
                <w:kern w:val="0"/>
                <w:sz w:val="20"/>
                <w:szCs w:val="20"/>
              </w:rPr>
            </w:pPr>
            <w:r>
              <w:rPr>
                <w:rFonts w:hint="eastAsia" w:ascii="宋体" w:hAnsi="宋体" w:eastAsia="宋体" w:cs="Tahoma"/>
                <w:b/>
                <w:bCs/>
                <w:color w:val="000000"/>
                <w:kern w:val="0"/>
                <w:sz w:val="20"/>
                <w:szCs w:val="20"/>
              </w:rPr>
              <w:t>四级指标</w:t>
            </w:r>
          </w:p>
        </w:tc>
        <w:tc>
          <w:tcPr>
            <w:tcW w:w="283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hint="eastAsia" w:ascii="宋体" w:hAnsi="宋体" w:eastAsia="宋体" w:cs="Tahoma"/>
                <w:b/>
                <w:bCs/>
                <w:color w:val="000000"/>
                <w:kern w:val="0"/>
                <w:sz w:val="20"/>
                <w:szCs w:val="20"/>
              </w:rPr>
            </w:pPr>
            <w:r>
              <w:rPr>
                <w:rFonts w:hint="eastAsia" w:ascii="宋体" w:hAnsi="宋体" w:eastAsia="宋体" w:cs="Tahoma"/>
                <w:b/>
                <w:bCs/>
                <w:color w:val="000000"/>
                <w:kern w:val="0"/>
                <w:sz w:val="20"/>
                <w:szCs w:val="20"/>
              </w:rPr>
              <w:t>评估点</w:t>
            </w:r>
          </w:p>
        </w:tc>
        <w:tc>
          <w:tcPr>
            <w:tcW w:w="1276"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hint="eastAsia" w:ascii="宋体" w:hAnsi="宋体" w:eastAsia="宋体" w:cs="Tahoma"/>
                <w:b/>
                <w:bCs/>
                <w:color w:val="000000"/>
                <w:kern w:val="0"/>
                <w:sz w:val="20"/>
                <w:szCs w:val="20"/>
              </w:rPr>
            </w:pPr>
            <w:r>
              <w:rPr>
                <w:rFonts w:hint="eastAsia" w:ascii="宋体" w:hAnsi="宋体" w:eastAsia="宋体" w:cs="Tahoma"/>
                <w:b/>
                <w:bCs/>
                <w:color w:val="000000"/>
                <w:kern w:val="0"/>
                <w:sz w:val="20"/>
                <w:szCs w:val="20"/>
              </w:rPr>
              <w:t>采样方式</w:t>
            </w:r>
          </w:p>
        </w:tc>
      </w:tr>
      <w:tr>
        <w:tblPrEx>
          <w:tblCellMar>
            <w:top w:w="0" w:type="dxa"/>
            <w:left w:w="108" w:type="dxa"/>
            <w:bottom w:w="0" w:type="dxa"/>
            <w:right w:w="108" w:type="dxa"/>
          </w:tblCellMar>
        </w:tblPrEx>
        <w:trPr>
          <w:trHeight w:val="720" w:hRule="atLeast"/>
          <w:jc w:val="center"/>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信息公开</w:t>
            </w:r>
          </w:p>
        </w:tc>
        <w:tc>
          <w:tcPr>
            <w:tcW w:w="12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基础信息公开</w:t>
            </w:r>
          </w:p>
        </w:tc>
        <w:tc>
          <w:tcPr>
            <w:tcW w:w="10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机构职能</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组织机构</w:t>
            </w:r>
          </w:p>
        </w:tc>
        <w:tc>
          <w:tcPr>
            <w:tcW w:w="2835"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开设组织机构类栏目，公开本单位职能、内设机构、办公地址、办公时间、联系方式。</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领导介绍</w:t>
            </w:r>
          </w:p>
        </w:tc>
        <w:tc>
          <w:tcPr>
            <w:tcW w:w="2835"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公开主要领导姓名、主管或分管工作信息。</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工作动态</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栏目更新情况</w:t>
            </w:r>
          </w:p>
        </w:tc>
        <w:tc>
          <w:tcPr>
            <w:tcW w:w="2835"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监测时间点前2周内，动态类栏目及时更新。</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通知公告</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栏目更新情况</w:t>
            </w:r>
          </w:p>
        </w:tc>
        <w:tc>
          <w:tcPr>
            <w:tcW w:w="2835"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监测时间点前6个月内，通知公告类栏目及时更新。</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专题专栏</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专题归档情况</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专项工作结束时，相关专题要从首页显著位置撤下并标注归档标识，集中保留至专题区，便于公众查看使用。</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6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应更新但长期未更新的栏目</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栏目更新情况</w:t>
            </w:r>
          </w:p>
        </w:tc>
        <w:tc>
          <w:tcPr>
            <w:tcW w:w="2835"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网站中不存在应更新但长期未更新的栏目、空白栏目。</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5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信息公开保障</w:t>
            </w:r>
          </w:p>
        </w:tc>
        <w:tc>
          <w:tcPr>
            <w:tcW w:w="10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信息公开指南</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渠道建设</w:t>
            </w:r>
          </w:p>
        </w:tc>
        <w:tc>
          <w:tcPr>
            <w:tcW w:w="2835"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编制并更新信息公开指南。</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12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指南内容</w:t>
            </w:r>
          </w:p>
        </w:tc>
        <w:tc>
          <w:tcPr>
            <w:tcW w:w="2835"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明确提供信息公开工作机构信息，包括机构名称、办公地址、办公时间、联系电话、传真号码、电子邮箱等，明确提供信息的分类、编排体系和获取方式。</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信息公开年报</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发布时效性</w:t>
            </w:r>
          </w:p>
        </w:tc>
        <w:tc>
          <w:tcPr>
            <w:tcW w:w="2835"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按时公开上年度信息公开工作年度报告。</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信息公开制度</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渠道建设</w:t>
            </w:r>
          </w:p>
        </w:tc>
        <w:tc>
          <w:tcPr>
            <w:tcW w:w="2835"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公开本单位信息公开制度。</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69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依申请公开</w:t>
            </w:r>
          </w:p>
        </w:tc>
        <w:tc>
          <w:tcPr>
            <w:tcW w:w="105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渠道功能</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功能可用性</w:t>
            </w:r>
          </w:p>
        </w:tc>
        <w:tc>
          <w:tcPr>
            <w:tcW w:w="2835"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提供依申请公开在线受理渠道，且功能可用。</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570" w:hRule="atLeast"/>
          <w:jc w:val="center"/>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回应社会关切</w:t>
            </w:r>
          </w:p>
        </w:tc>
        <w:tc>
          <w:tcPr>
            <w:tcW w:w="12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互动交流</w:t>
            </w:r>
          </w:p>
        </w:tc>
        <w:tc>
          <w:tcPr>
            <w:tcW w:w="10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咨询建言类</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渠道建设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开设咨询类栏目，功能可用。</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105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活动组织</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咨询建言类栏目（网上信访、纪检举报等专门渠道除外）提供有效的信件、留言。</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998"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回复情况</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模拟用户进行简单常见问题咨询：</w:t>
            </w:r>
          </w:p>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咨询类留言一般在5个工作日内回复；留言回复具体、详细，无推诿、敷衍等现象。</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501"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调查征集类</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渠道建设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开设调查征集类栏目，功能可用。</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743"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栏目更新</w:t>
            </w:r>
          </w:p>
        </w:tc>
        <w:tc>
          <w:tcPr>
            <w:tcW w:w="2835"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监测时间点前1年内，栏目更新及时。</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2018" w:hRule="atLeast"/>
          <w:jc w:val="center"/>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便民服务</w:t>
            </w:r>
          </w:p>
        </w:tc>
        <w:tc>
          <w:tcPr>
            <w:tcW w:w="12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信息查询服务</w:t>
            </w:r>
          </w:p>
        </w:tc>
        <w:tc>
          <w:tcPr>
            <w:tcW w:w="10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重点信息查询</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陕西省公路局信息查询</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1.及时更新道路施工信息及通行信息；</w:t>
            </w:r>
          </w:p>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2.提供通行费查询；</w:t>
            </w:r>
          </w:p>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3.提供路线查询服务，包括自驾、公交车、步行等；</w:t>
            </w:r>
          </w:p>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4.提供省内主要公路气象预报信息；</w:t>
            </w:r>
          </w:p>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5.及时更新公路管理相关信息，包括路网建设、路政治超、公路养护、农村公路等。</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14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陕西省道路运输事业发展中心信息查询</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1.提供城市公交线路、班线客运、出租汽车企业信息查询；</w:t>
            </w:r>
          </w:p>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2.提供驾驶培训机构、驾驶考核员、汽车维修企业信息查询；</w:t>
            </w:r>
          </w:p>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3.提供客运站等级查询。</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r>
      <w:tr>
        <w:tblPrEx>
          <w:tblCellMar>
            <w:top w:w="0" w:type="dxa"/>
            <w:left w:w="108" w:type="dxa"/>
            <w:bottom w:w="0" w:type="dxa"/>
            <w:right w:w="108" w:type="dxa"/>
          </w:tblCellMar>
        </w:tblPrEx>
        <w:trPr>
          <w:trHeight w:val="8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陕西省水路交通事业发展中心信息查询</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提供辖区内船员培训、考试、体检、注册和外派机构查询。</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r>
      <w:tr>
        <w:tblPrEx>
          <w:tblCellMar>
            <w:top w:w="0" w:type="dxa"/>
            <w:left w:w="108" w:type="dxa"/>
            <w:bottom w:w="0" w:type="dxa"/>
            <w:right w:w="108" w:type="dxa"/>
          </w:tblCellMar>
        </w:tblPrEx>
        <w:trPr>
          <w:trHeight w:val="24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陕西省高速公路收费管理中心信息查询</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1.提供省内主要客运站名称、地址及联系电话；</w:t>
            </w:r>
          </w:p>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2.提供省内高速服务区信息，包括路段名称、服务区名称、公里桩号及加油站、卫生间、停车区域投用情况等信息；</w:t>
            </w:r>
          </w:p>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3.提供高速公路通行费查询，包括车辆类型、费用及里程数；</w:t>
            </w:r>
          </w:p>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4.提供实时路况及高速直播信息查询。</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r>
      <w:tr>
        <w:tblPrEx>
          <w:tblCellMar>
            <w:top w:w="0" w:type="dxa"/>
            <w:left w:w="108" w:type="dxa"/>
            <w:bottom w:w="0" w:type="dxa"/>
            <w:right w:w="108" w:type="dxa"/>
          </w:tblCellMar>
        </w:tblPrEx>
        <w:trPr>
          <w:trHeight w:val="1718"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陕西省交通医院信息查询</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1.提供网站、电话预约挂号功能，且功能可用；</w:t>
            </w:r>
          </w:p>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2.提供医院医疗服务费用相关信息；</w:t>
            </w:r>
          </w:p>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3.提供健康科普信息；</w:t>
            </w:r>
          </w:p>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4.提供各科室详细介绍及专家门诊坐诊时间。</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r>
      <w:tr>
        <w:tblPrEx>
          <w:tblCellMar>
            <w:top w:w="0" w:type="dxa"/>
            <w:left w:w="108" w:type="dxa"/>
            <w:bottom w:w="0" w:type="dxa"/>
            <w:right w:w="108" w:type="dxa"/>
          </w:tblCellMar>
        </w:tblPrEx>
        <w:trPr>
          <w:trHeight w:val="1913"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陕西省交通运输工程质量监测鉴定站信息查询</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1.提供省内监理企业信息，包括名称、监理资格及证书编号；</w:t>
            </w:r>
          </w:p>
          <w:p>
            <w:pPr>
              <w:widowControl/>
              <w:jc w:val="left"/>
              <w:rPr>
                <w:rFonts w:hint="eastAsia" w:ascii="宋体" w:hAnsi="宋体" w:eastAsia="宋体" w:cs="Tahoma"/>
                <w:color w:val="000000"/>
                <w:kern w:val="0"/>
                <w:sz w:val="20"/>
                <w:szCs w:val="20"/>
                <w:lang w:eastAsia="zh-CN"/>
              </w:rPr>
            </w:pPr>
            <w:r>
              <w:rPr>
                <w:rFonts w:hint="eastAsia" w:ascii="宋体" w:hAnsi="宋体" w:eastAsia="宋体" w:cs="Tahoma"/>
                <w:color w:val="000000"/>
                <w:kern w:val="0"/>
                <w:sz w:val="20"/>
                <w:szCs w:val="20"/>
              </w:rPr>
              <w:t>2.提供省内试验检测等级机构信息，包括单位名称及证书等级；</w:t>
            </w:r>
          </w:p>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3.提供我省交通建设项目质量、安全监测相关信息。</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r>
      <w:tr>
        <w:tblPrEx>
          <w:tblCellMar>
            <w:top w:w="0" w:type="dxa"/>
            <w:left w:w="108" w:type="dxa"/>
            <w:bottom w:w="0" w:type="dxa"/>
            <w:right w:w="108" w:type="dxa"/>
          </w:tblCellMar>
        </w:tblPrEx>
        <w:trPr>
          <w:trHeight w:val="69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从业资质证件查询</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从业人员资质</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提供本单位业务范围内从业人员、企业机构等查询服务，功能可用。</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1185" w:hRule="atLeast"/>
          <w:jc w:val="center"/>
        </w:trPr>
        <w:tc>
          <w:tcPr>
            <w:tcW w:w="10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网站设计及功能</w:t>
            </w:r>
          </w:p>
        </w:tc>
        <w:tc>
          <w:tcPr>
            <w:tcW w:w="126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网页设计规范</w:t>
            </w:r>
          </w:p>
        </w:tc>
        <w:tc>
          <w:tcPr>
            <w:tcW w:w="105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浏览器兼容性</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浏览器兼容性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采用多种浏览器，网站能够正常访问、正常显示，网站页面、功能实时可用；页面保持整齐不变形,不出现文字错行、表格错位、功能和控件不可用等情况。</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1028"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网站内容展示情况</w:t>
            </w:r>
          </w:p>
        </w:tc>
        <w:tc>
          <w:tcPr>
            <w:tcW w:w="127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网页展现</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网站内容清晰展示发布时间，时间格式为YYYY-MM-DD HH∶MM；文章页标明信息来源，并具备转载分享功能。</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1028"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网站页面内容便于复制、保存和打印。</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1028"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网站尽量避免使用悬浮、闪烁等方式，确需使用悬浮框的，应具备关闭功能。</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114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网站标识规范情况</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内容完整性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首页底部功能区列明网站标识码、网站主办单位及联系方式、ICP备案编号、公安机关备案标识等内容，提供的链接信息准确有效。</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765"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页面一致性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网站各页面的头部标识区和底部功能区与首页保持一致。</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63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网站功能建设</w:t>
            </w:r>
          </w:p>
        </w:tc>
        <w:tc>
          <w:tcPr>
            <w:tcW w:w="105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网站地图</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网站地图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首页底部功能区提供网站地图，功能易用，导航准确；网站地图栏目架构与网站现有栏目架构保持一致。</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615"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站内搜索</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建设情况</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网站头部标识区醒目提供实时可用、多样化方式的全网站搜索功能入口。</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615"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功能可用性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使用搜索功能，能够成功获得相应检索信息。</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99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检索结果按照一定规律呈现，实现关键字突显。</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99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安全运行</w:t>
            </w:r>
          </w:p>
        </w:tc>
        <w:tc>
          <w:tcPr>
            <w:tcW w:w="10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链接可用性</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网站链接能够正常访问情况（包括图片、附件等）。</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网站错误</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网站存在（严重）错别字、虚假或伪造内容以及反动、暴力、色情内容等情况。</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0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安全漏洞</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网站存在高危漏洞（如SQL注入漏洞、XSS漏洞、网站组件漏洞、安全配置漏洞等），造成重大影响的情况。</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网站</w:t>
            </w:r>
          </w:p>
        </w:tc>
      </w:tr>
      <w:tr>
        <w:tblPrEx>
          <w:tblCellMar>
            <w:top w:w="0" w:type="dxa"/>
            <w:left w:w="108" w:type="dxa"/>
            <w:bottom w:w="0" w:type="dxa"/>
            <w:right w:w="108" w:type="dxa"/>
          </w:tblCellMar>
        </w:tblPrEx>
        <w:trPr>
          <w:trHeight w:val="713" w:hRule="atLeast"/>
          <w:jc w:val="center"/>
        </w:trPr>
        <w:tc>
          <w:tcPr>
            <w:tcW w:w="878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Tahoma"/>
                <w:color w:val="000000"/>
                <w:kern w:val="0"/>
                <w:sz w:val="20"/>
                <w:szCs w:val="20"/>
              </w:rPr>
            </w:pPr>
            <w:r>
              <w:rPr>
                <w:rFonts w:hint="eastAsia" w:ascii="宋体" w:hAnsi="宋体" w:eastAsia="宋体" w:cs="Tahoma"/>
                <w:color w:val="000000"/>
                <w:kern w:val="0"/>
                <w:sz w:val="20"/>
                <w:szCs w:val="20"/>
              </w:rPr>
              <w:t>备注：仅涉及部分厅直事业单位的任务（评估点），其他单位对该项任务（评估点）视为满分。</w:t>
            </w:r>
          </w:p>
        </w:tc>
      </w:tr>
    </w:tbl>
    <w:p>
      <w:pPr>
        <w:spacing w:before="156" w:beforeLines="50" w:after="156" w:afterLines="50" w:line="360" w:lineRule="auto"/>
        <w:outlineLvl w:val="1"/>
        <w:rPr>
          <w:rFonts w:ascii="仿宋_GB2312" w:hAnsi="宋体" w:eastAsia="仿宋_GB2312"/>
          <w:color w:val="000000"/>
          <w:sz w:val="28"/>
          <w:szCs w:val="28"/>
        </w:rPr>
      </w:pPr>
      <w:bookmarkStart w:id="16" w:name="_Toc127368209"/>
      <w:r>
        <w:rPr>
          <w:rFonts w:hint="eastAsia" w:ascii="仿宋_GB2312" w:hAnsi="宋体" w:eastAsia="仿宋_GB2312"/>
          <w:color w:val="000000"/>
          <w:sz w:val="28"/>
          <w:szCs w:val="28"/>
        </w:rPr>
        <w:t>（三）20</w:t>
      </w:r>
      <w:r>
        <w:rPr>
          <w:rFonts w:ascii="仿宋_GB2312" w:hAnsi="宋体" w:eastAsia="仿宋_GB2312"/>
          <w:color w:val="000000"/>
          <w:sz w:val="28"/>
          <w:szCs w:val="28"/>
        </w:rPr>
        <w:t>23</w:t>
      </w:r>
      <w:r>
        <w:rPr>
          <w:rFonts w:hint="eastAsia" w:ascii="仿宋_GB2312" w:hAnsi="宋体" w:eastAsia="仿宋_GB2312"/>
          <w:color w:val="000000"/>
          <w:sz w:val="28"/>
          <w:szCs w:val="28"/>
        </w:rPr>
        <w:t>年陕西省交通运输系统政务新媒体评估指标</w:t>
      </w:r>
      <w:bookmarkEnd w:id="16"/>
    </w:p>
    <w:tbl>
      <w:tblPr>
        <w:tblStyle w:val="4"/>
        <w:tblW w:w="8075" w:type="dxa"/>
        <w:jc w:val="center"/>
        <w:tblLayout w:type="autofit"/>
        <w:tblCellMar>
          <w:top w:w="0" w:type="dxa"/>
          <w:left w:w="108" w:type="dxa"/>
          <w:bottom w:w="0" w:type="dxa"/>
          <w:right w:w="108" w:type="dxa"/>
        </w:tblCellMar>
      </w:tblPr>
      <w:tblGrid>
        <w:gridCol w:w="1555"/>
        <w:gridCol w:w="1701"/>
        <w:gridCol w:w="4819"/>
      </w:tblGrid>
      <w:tr>
        <w:tblPrEx>
          <w:tblCellMar>
            <w:top w:w="0" w:type="dxa"/>
            <w:left w:w="108" w:type="dxa"/>
            <w:bottom w:w="0" w:type="dxa"/>
            <w:right w:w="108" w:type="dxa"/>
          </w:tblCellMar>
        </w:tblPrEx>
        <w:trPr>
          <w:trHeight w:val="600" w:hRule="atLeast"/>
          <w:tblHeader/>
          <w:jc w:val="center"/>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b/>
                <w:bCs/>
                <w:color w:val="000000"/>
                <w:kern w:val="0"/>
                <w:sz w:val="22"/>
              </w:rPr>
            </w:pPr>
            <w:r>
              <w:rPr>
                <w:rFonts w:hint="eastAsia" w:ascii="宋体" w:hAnsi="宋体" w:eastAsia="宋体" w:cs="Tahoma"/>
                <w:b/>
                <w:bCs/>
                <w:color w:val="000000"/>
                <w:kern w:val="0"/>
                <w:sz w:val="22"/>
              </w:rPr>
              <w:t>检查对象</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Tahoma"/>
                <w:b/>
                <w:bCs/>
                <w:color w:val="000000"/>
                <w:kern w:val="0"/>
                <w:sz w:val="22"/>
              </w:rPr>
            </w:pPr>
            <w:r>
              <w:rPr>
                <w:rFonts w:hint="eastAsia" w:ascii="宋体" w:hAnsi="宋体" w:eastAsia="宋体" w:cs="Tahoma"/>
                <w:b/>
                <w:bCs/>
                <w:color w:val="000000"/>
                <w:kern w:val="0"/>
                <w:sz w:val="22"/>
              </w:rPr>
              <w:t>指</w:t>
            </w:r>
            <w:r>
              <w:rPr>
                <w:rFonts w:ascii="Tahoma" w:hAnsi="Tahoma" w:eastAsia="宋体" w:cs="Tahoma"/>
                <w:b/>
                <w:bCs/>
                <w:color w:val="000000"/>
                <w:kern w:val="0"/>
                <w:sz w:val="22"/>
              </w:rPr>
              <w:t xml:space="preserve"> </w:t>
            </w:r>
            <w:r>
              <w:rPr>
                <w:rFonts w:hint="eastAsia" w:ascii="宋体" w:hAnsi="宋体" w:eastAsia="宋体" w:cs="Tahoma"/>
                <w:b/>
                <w:bCs/>
                <w:color w:val="000000"/>
                <w:kern w:val="0"/>
                <w:sz w:val="22"/>
              </w:rPr>
              <w:t>标</w:t>
            </w:r>
          </w:p>
        </w:tc>
        <w:tc>
          <w:tcPr>
            <w:tcW w:w="48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Tahoma"/>
                <w:b/>
                <w:bCs/>
                <w:color w:val="000000"/>
                <w:kern w:val="0"/>
                <w:sz w:val="22"/>
              </w:rPr>
            </w:pPr>
            <w:r>
              <w:rPr>
                <w:rFonts w:hint="eastAsia" w:ascii="宋体" w:hAnsi="宋体" w:eastAsia="宋体" w:cs="Tahoma"/>
                <w:b/>
                <w:bCs/>
                <w:color w:val="000000"/>
                <w:kern w:val="0"/>
                <w:sz w:val="22"/>
              </w:rPr>
              <w:t>评分细则</w:t>
            </w:r>
          </w:p>
        </w:tc>
      </w:tr>
      <w:tr>
        <w:tblPrEx>
          <w:tblCellMar>
            <w:top w:w="0" w:type="dxa"/>
            <w:left w:w="108" w:type="dxa"/>
            <w:bottom w:w="0" w:type="dxa"/>
            <w:right w:w="108" w:type="dxa"/>
          </w:tblCellMar>
        </w:tblPrEx>
        <w:trPr>
          <w:trHeight w:val="600" w:hRule="atLeast"/>
          <w:jc w:val="center"/>
        </w:trPr>
        <w:tc>
          <w:tcPr>
            <w:tcW w:w="15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Tahoma"/>
                <w:color w:val="000000"/>
                <w:kern w:val="0"/>
                <w:sz w:val="22"/>
              </w:rPr>
            </w:pPr>
            <w:r>
              <w:rPr>
                <w:rFonts w:hint="eastAsia" w:ascii="宋体" w:hAnsi="宋体" w:eastAsia="宋体" w:cs="Tahoma"/>
                <w:color w:val="000000"/>
                <w:kern w:val="0"/>
                <w:sz w:val="22"/>
              </w:rPr>
              <w:t>政务新媒体</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Tahoma"/>
                <w:color w:val="000000"/>
                <w:kern w:val="0"/>
                <w:sz w:val="22"/>
              </w:rPr>
            </w:pPr>
            <w:r>
              <w:rPr>
                <w:rFonts w:hint="eastAsia" w:ascii="宋体" w:hAnsi="宋体" w:eastAsia="宋体" w:cs="Tahoma"/>
                <w:color w:val="000000"/>
                <w:kern w:val="0"/>
                <w:sz w:val="22"/>
              </w:rPr>
              <w:t>内容不更新</w:t>
            </w: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Tahoma"/>
                <w:color w:val="000000"/>
                <w:kern w:val="0"/>
                <w:sz w:val="22"/>
              </w:rPr>
            </w:pPr>
            <w:r>
              <w:rPr>
                <w:rFonts w:hint="eastAsia" w:ascii="宋体" w:hAnsi="宋体" w:eastAsia="宋体" w:cs="Tahoma"/>
                <w:color w:val="000000"/>
                <w:kern w:val="0"/>
                <w:sz w:val="22"/>
              </w:rPr>
              <w:t>监测时间点前</w:t>
            </w:r>
            <w:r>
              <w:rPr>
                <w:rFonts w:ascii="Tahoma" w:hAnsi="Tahoma" w:eastAsia="宋体" w:cs="Tahoma"/>
                <w:color w:val="000000"/>
                <w:kern w:val="0"/>
                <w:sz w:val="22"/>
              </w:rPr>
              <w:t>2</w:t>
            </w:r>
            <w:r>
              <w:rPr>
                <w:rFonts w:hint="eastAsia" w:ascii="宋体" w:hAnsi="宋体" w:eastAsia="宋体" w:cs="Tahoma"/>
                <w:color w:val="000000"/>
                <w:kern w:val="0"/>
                <w:sz w:val="22"/>
              </w:rPr>
              <w:t>周内无更新。</w:t>
            </w:r>
          </w:p>
        </w:tc>
      </w:tr>
      <w:tr>
        <w:tblPrEx>
          <w:tblCellMar>
            <w:top w:w="0" w:type="dxa"/>
            <w:left w:w="108" w:type="dxa"/>
            <w:bottom w:w="0" w:type="dxa"/>
            <w:right w:w="108" w:type="dxa"/>
          </w:tblCellMar>
        </w:tblPrEx>
        <w:trPr>
          <w:trHeight w:val="60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2"/>
              </w:rPr>
            </w:pP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Tahoma"/>
                <w:color w:val="000000"/>
                <w:kern w:val="0"/>
                <w:sz w:val="22"/>
              </w:rPr>
            </w:pPr>
            <w:r>
              <w:rPr>
                <w:rFonts w:hint="eastAsia" w:ascii="宋体" w:hAnsi="宋体" w:eastAsia="宋体" w:cs="Tahoma"/>
                <w:color w:val="000000"/>
                <w:kern w:val="0"/>
                <w:sz w:val="22"/>
              </w:rPr>
              <w:t>移动客户端（APP）无法下载或使用，发生“僵尸”“睡眠”情况。</w:t>
            </w:r>
          </w:p>
        </w:tc>
      </w:tr>
      <w:tr>
        <w:tblPrEx>
          <w:tblCellMar>
            <w:top w:w="0" w:type="dxa"/>
            <w:left w:w="108" w:type="dxa"/>
            <w:bottom w:w="0" w:type="dxa"/>
            <w:right w:w="108" w:type="dxa"/>
          </w:tblCellMar>
        </w:tblPrEx>
        <w:trPr>
          <w:trHeight w:val="60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2"/>
              </w:rPr>
            </w:pP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Tahoma"/>
                <w:color w:val="000000"/>
                <w:kern w:val="0"/>
                <w:sz w:val="22"/>
              </w:rPr>
            </w:pPr>
            <w:r>
              <w:rPr>
                <w:rFonts w:hint="eastAsia" w:ascii="宋体" w:hAnsi="宋体" w:eastAsia="宋体" w:cs="Tahoma"/>
                <w:color w:val="000000"/>
                <w:kern w:val="0"/>
                <w:sz w:val="22"/>
              </w:rPr>
              <w:t>监测时间点前1个月内未发布原创信息。</w:t>
            </w:r>
          </w:p>
        </w:tc>
      </w:tr>
      <w:tr>
        <w:tblPrEx>
          <w:tblCellMar>
            <w:top w:w="0" w:type="dxa"/>
            <w:left w:w="108" w:type="dxa"/>
            <w:bottom w:w="0" w:type="dxa"/>
            <w:right w:w="108" w:type="dxa"/>
          </w:tblCellMar>
        </w:tblPrEx>
        <w:trPr>
          <w:trHeight w:val="60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2"/>
              </w:rPr>
            </w:pP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Tahoma"/>
                <w:color w:val="000000"/>
                <w:kern w:val="0"/>
                <w:sz w:val="22"/>
              </w:rPr>
            </w:pPr>
            <w:r>
              <w:rPr>
                <w:rFonts w:hint="eastAsia" w:ascii="宋体" w:hAnsi="宋体" w:eastAsia="宋体" w:cs="Tahoma"/>
                <w:color w:val="000000"/>
                <w:kern w:val="0"/>
                <w:sz w:val="22"/>
              </w:rPr>
              <w:t>监测时间点前6个月内未发布政策解读信息。</w:t>
            </w:r>
          </w:p>
        </w:tc>
      </w:tr>
      <w:tr>
        <w:tblPrEx>
          <w:tblCellMar>
            <w:top w:w="0" w:type="dxa"/>
            <w:left w:w="108" w:type="dxa"/>
            <w:bottom w:w="0" w:type="dxa"/>
            <w:right w:w="108" w:type="dxa"/>
          </w:tblCellMar>
        </w:tblPrEx>
        <w:trPr>
          <w:trHeight w:val="60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2"/>
              </w:rPr>
            </w:pP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Tahoma"/>
                <w:color w:val="000000"/>
                <w:kern w:val="0"/>
                <w:sz w:val="22"/>
              </w:rPr>
            </w:pPr>
            <w:r>
              <w:rPr>
                <w:rFonts w:hint="eastAsia" w:ascii="宋体" w:hAnsi="宋体" w:eastAsia="宋体" w:cs="Tahoma"/>
                <w:color w:val="000000"/>
                <w:kern w:val="0"/>
                <w:sz w:val="22"/>
              </w:rPr>
              <w:t>互动回应差</w:t>
            </w: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Tahoma"/>
                <w:color w:val="000000"/>
                <w:kern w:val="0"/>
                <w:sz w:val="22"/>
              </w:rPr>
            </w:pPr>
            <w:r>
              <w:rPr>
                <w:rFonts w:hint="eastAsia" w:ascii="宋体" w:hAnsi="宋体" w:eastAsia="宋体" w:cs="Tahoma"/>
                <w:color w:val="000000"/>
                <w:kern w:val="0"/>
                <w:sz w:val="22"/>
              </w:rPr>
              <w:t>未提供有效互动功能。</w:t>
            </w:r>
          </w:p>
        </w:tc>
      </w:tr>
      <w:tr>
        <w:tblPrEx>
          <w:tblCellMar>
            <w:top w:w="0" w:type="dxa"/>
            <w:left w:w="108" w:type="dxa"/>
            <w:bottom w:w="0" w:type="dxa"/>
            <w:right w:w="108" w:type="dxa"/>
          </w:tblCellMar>
        </w:tblPrEx>
        <w:trPr>
          <w:trHeight w:val="60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ahoma"/>
                <w:color w:val="000000"/>
                <w:kern w:val="0"/>
                <w:sz w:val="22"/>
              </w:rPr>
            </w:pP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Tahoma"/>
                <w:color w:val="000000"/>
                <w:kern w:val="0"/>
                <w:sz w:val="22"/>
              </w:rPr>
            </w:pPr>
            <w:r>
              <w:rPr>
                <w:rFonts w:hint="eastAsia" w:ascii="宋体" w:hAnsi="宋体" w:eastAsia="宋体" w:cs="Tahoma"/>
                <w:color w:val="000000"/>
                <w:kern w:val="0"/>
                <w:sz w:val="22"/>
              </w:rPr>
              <w:t>点赞与单位业务无关的信息，影响单位形象的情况。</w:t>
            </w:r>
          </w:p>
        </w:tc>
      </w:tr>
    </w:tbl>
    <w:p>
      <w:pPr>
        <w:outlineLvl w:val="0"/>
        <w:rPr>
          <w:rFonts w:ascii="仿宋_GB2312" w:hAnsi="仿宋" w:eastAsia="仿宋_GB2312" w:cs="Times New Roman"/>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4320" w:firstLineChars="1350"/>
        <w:textAlignment w:val="auto"/>
        <w:rPr>
          <w:rFonts w:hint="eastAsia" w:ascii="仿宋_GB2312" w:hAnsi="仿宋_GB2312" w:eastAsia="仿宋_GB2312" w:cs="仿宋_GB2312"/>
          <w:sz w:val="32"/>
          <w:szCs w:val="32"/>
        </w:rPr>
      </w:pPr>
    </w:p>
    <w:p>
      <w:pPr>
        <w:pStyle w:val="3"/>
        <w:ind w:left="0" w:leftChars="0" w:firstLine="0" w:firstLineChars="0"/>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17285"/>
    <w:multiLevelType w:val="multilevel"/>
    <w:tmpl w:val="1CF17285"/>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ZDA2YTNlMGM4M2VjN2Q4NzQ1Yjc4ZmFlOTA5MzEifQ=="/>
  </w:docVars>
  <w:rsids>
    <w:rsidRoot w:val="00A929D8"/>
    <w:rsid w:val="00A9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2023-07-06T13:38:00Z</dcterms:created>
  <dc:creator>mr.Deja Vu</dc:creator>
  <cp:lastModifiedBy>mr.Deja Vu</cp:lastModifiedBy>
  <dcterms:modified xsi:type="dcterms:W3CDTF">2023-07-06T13:39:31Z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E77D4FDFF7214E3E9410AEEF95C0B10B_11</vt:lpwstr>
  </property>
</Properties>
</file>